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8713" w14:textId="40BE7755" w:rsidR="00FC799D" w:rsidRDefault="00FC799D" w:rsidP="00782909">
      <w:pPr>
        <w:pStyle w:val="Heading1"/>
        <w:rPr>
          <w:b w:val="0"/>
          <w:color w:val="000000" w:themeColor="text1"/>
          <w:sz w:val="18"/>
          <w:szCs w:val="18"/>
        </w:rPr>
      </w:pPr>
      <w:bookmarkStart w:id="0" w:name="_xsgdc8tpnzil" w:colFirst="0" w:colLast="0"/>
      <w:bookmarkStart w:id="1" w:name="_jo0cbauq0yld" w:colFirst="0" w:colLast="0"/>
      <w:bookmarkEnd w:id="0"/>
      <w:bookmarkEnd w:id="1"/>
      <w:r>
        <w:rPr>
          <w:noProof/>
        </w:rPr>
        <mc:AlternateContent>
          <mc:Choice Requires="wpg">
            <w:drawing>
              <wp:anchor distT="0" distB="0" distL="114300" distR="114300" simplePos="0" relativeHeight="251666432" behindDoc="0" locked="0" layoutInCell="1" allowOverlap="1" wp14:anchorId="774D8165" wp14:editId="6B161C0E">
                <wp:simplePos x="0" y="0"/>
                <wp:positionH relativeFrom="column">
                  <wp:posOffset>-439809</wp:posOffset>
                </wp:positionH>
                <wp:positionV relativeFrom="paragraph">
                  <wp:posOffset>-392430</wp:posOffset>
                </wp:positionV>
                <wp:extent cx="7419975" cy="1352550"/>
                <wp:effectExtent l="95250" t="76200" r="9525" b="133350"/>
                <wp:wrapNone/>
                <wp:docPr id="9" name="Group 9"/>
                <wp:cNvGraphicFramePr/>
                <a:graphic xmlns:a="http://schemas.openxmlformats.org/drawingml/2006/main">
                  <a:graphicData uri="http://schemas.microsoft.com/office/word/2010/wordprocessingGroup">
                    <wpg:wgp>
                      <wpg:cNvGrpSpPr/>
                      <wpg:grpSpPr>
                        <a:xfrm>
                          <a:off x="0" y="0"/>
                          <a:ext cx="7419975" cy="1352550"/>
                          <a:chOff x="0" y="60960"/>
                          <a:chExt cx="7419975" cy="1199008"/>
                        </a:xfrm>
                      </wpg:grpSpPr>
                      <wps:wsp>
                        <wps:cNvPr id="6" name="Rectangle 6"/>
                        <wps:cNvSpPr/>
                        <wps:spPr>
                          <a:xfrm>
                            <a:off x="997774" y="235033"/>
                            <a:ext cx="6392545" cy="893445"/>
                          </a:xfrm>
                          <a:prstGeom prst="rect">
                            <a:avLst/>
                          </a:prstGeom>
                          <a:solidFill>
                            <a:srgbClr val="10253F"/>
                          </a:solidFill>
                          <a:ln>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38346" y="60960"/>
                            <a:ext cx="1342390" cy="1199008"/>
                          </a:xfrm>
                          <a:prstGeom prst="ellipse">
                            <a:avLst/>
                          </a:prstGeom>
                          <a:solidFill>
                            <a:schemeClr val="bg1"/>
                          </a:solidFill>
                          <a:ln w="76200">
                            <a:solidFill>
                              <a:schemeClr val="tx2">
                                <a:lumMod val="50000"/>
                              </a:schemeClr>
                            </a:solid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7BCF5C" w14:textId="026665EF" w:rsidR="006E5D03" w:rsidRPr="00CD3853" w:rsidRDefault="006E5D03" w:rsidP="006E5D03">
                              <w:pPr>
                                <w:jc w:val="center"/>
                                <w:rPr>
                                  <w:b/>
                                  <w:bCs/>
                                  <w:color w:val="0F243E" w:themeColor="text2" w:themeShade="8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383777"/>
                            <a:ext cx="7419975" cy="784225"/>
                            <a:chOff x="0" y="-50662"/>
                            <a:chExt cx="7419975" cy="784225"/>
                          </a:xfrm>
                        </wpg:grpSpPr>
                        <wps:wsp>
                          <wps:cNvPr id="1" name="Text Box 1"/>
                          <wps:cNvSpPr txBox="1"/>
                          <wps:spPr>
                            <a:xfrm>
                              <a:off x="0" y="33775"/>
                              <a:ext cx="1398905" cy="389255"/>
                            </a:xfrm>
                            <a:prstGeom prst="rect">
                              <a:avLst/>
                            </a:prstGeom>
                            <a:noFill/>
                            <a:ln w="6350">
                              <a:noFill/>
                            </a:ln>
                          </wps:spPr>
                          <wps:txbx>
                            <w:txbxContent>
                              <w:p w14:paraId="52716ED2" w14:textId="77777777" w:rsidR="006E5D03" w:rsidRPr="0090627C" w:rsidRDefault="006E5D03" w:rsidP="006E5D03">
                                <w:pPr>
                                  <w:jc w:val="center"/>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sidRPr="0090627C">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t>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484467" y="-50662"/>
                              <a:ext cx="5935508" cy="784225"/>
                            </a:xfrm>
                            <a:prstGeom prst="rect">
                              <a:avLst/>
                            </a:prstGeom>
                            <a:noFill/>
                            <a:ln w="6350">
                              <a:noFill/>
                            </a:ln>
                          </wps:spPr>
                          <wps:txbx>
                            <w:txbxContent>
                              <w:p w14:paraId="54ACB47B" w14:textId="0191602A" w:rsidR="00CD4592" w:rsidRPr="00B05C0E" w:rsidRDefault="00F6624B" w:rsidP="00CD4592">
                                <w:pPr>
                                  <w:jc w:val="left"/>
                                  <w:rPr>
                                    <w:rFonts w:ascii="Century Gothic" w:hAnsi="Century Gothic"/>
                                    <w:b/>
                                    <w:bCs/>
                                    <w:color w:val="0F243E" w:themeColor="text2" w:themeShade="80"/>
                                    <w:spacing w:val="-20"/>
                                    <w:sz w:val="36"/>
                                    <w:szCs w:val="36"/>
                                    <w14:textOutline w14:w="9525" w14:cap="rnd" w14:cmpd="sng" w14:algn="ctr">
                                      <w14:solidFill>
                                        <w14:schemeClr w14:val="tx2">
                                          <w14:lumMod w14:val="50000"/>
                                        </w14:schemeClr>
                                      </w14:solidFill>
                                      <w14:prstDash w14:val="solid"/>
                                      <w14:bevel/>
                                    </w14:textOutline>
                                  </w:rPr>
                                </w:pPr>
                                <w:r w:rsidRPr="00B05C0E">
                                  <w:rPr>
                                    <w:rFonts w:ascii="Century Gothic" w:hAnsi="Century Gothic"/>
                                    <w:b/>
                                    <w:bCs/>
                                    <w:color w:val="FFFFFF" w:themeColor="background1"/>
                                    <w:sz w:val="36"/>
                                    <w:szCs w:val="36"/>
                                  </w:rPr>
                                  <w:t>Tools for Landlords</w:t>
                                </w:r>
                                <w:r w:rsidR="000E1C86" w:rsidRPr="00B05C0E">
                                  <w:rPr>
                                    <w:rFonts w:ascii="Century Gothic" w:hAnsi="Century Gothic"/>
                                    <w:b/>
                                    <w:bCs/>
                                    <w:color w:val="FFFFFF" w:themeColor="background1"/>
                                    <w:sz w:val="36"/>
                                    <w:szCs w:val="36"/>
                                  </w:rPr>
                                  <w:t xml:space="preserve"> with Tenants Impacted by C</w:t>
                                </w:r>
                                <w:r w:rsidR="00B05C0E" w:rsidRPr="00B05C0E">
                                  <w:rPr>
                                    <w:rFonts w:ascii="Century Gothic" w:hAnsi="Century Gothic"/>
                                    <w:b/>
                                    <w:bCs/>
                                    <w:color w:val="FFFFFF" w:themeColor="background1"/>
                                    <w:sz w:val="36"/>
                                    <w:szCs w:val="36"/>
                                  </w:rPr>
                                  <w:t>OVID</w:t>
                                </w:r>
                                <w:r w:rsidR="000E1C86" w:rsidRPr="00B05C0E">
                                  <w:rPr>
                                    <w:rFonts w:ascii="Century Gothic" w:hAnsi="Century Gothic"/>
                                    <w:b/>
                                    <w:bCs/>
                                    <w:color w:val="FFFFFF" w:themeColor="background1"/>
                                    <w:sz w:val="36"/>
                                    <w:szCs w:val="36"/>
                                  </w:rPr>
                                  <w:t>-</w:t>
                                </w:r>
                                <w:r w:rsidRPr="00B05C0E">
                                  <w:rPr>
                                    <w:rFonts w:ascii="Century Gothic" w:hAnsi="Century Gothic"/>
                                    <w:b/>
                                    <w:bCs/>
                                    <w:color w:val="FFFFFF" w:themeColor="background1"/>
                                    <w:sz w:val="36"/>
                                    <w:szCs w:val="36"/>
                                  </w:rPr>
                                  <w:t>19</w:t>
                                </w:r>
                                <w:r w:rsidR="00CD4592" w:rsidRPr="00B05C0E">
                                  <w:rPr>
                                    <w:rFonts w:ascii="Century Gothic" w:hAnsi="Century Gothic"/>
                                    <w:sz w:val="36"/>
                                    <w:szCs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4D8165" id="Group 9" o:spid="_x0000_s1026" style="position:absolute;left:0;text-align:left;margin-left:-34.65pt;margin-top:-30.9pt;width:584.25pt;height:106.5pt;z-index:251666432;mso-width-relative:margin;mso-height-relative:margin" coordorigin=",609" coordsize="74199,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">
                <v:rect id="Rectangle 6" o:spid="_x0000_s1027" style="position:absolute;left:9977;top:2350;width:63926;height: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" fillcolor="#10253f" stroked="f">
                  <v:shadow on="t" color="black" opacity="26214f" origin=".5,-.5" offset="-.74836mm,.74836mm"/>
                </v:rect>
                <v:oval id="Oval 3" o:spid="_x0000_s1028" style="position:absolute;left:383;top:609;width:13424;height:11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" fillcolor="white [3212]" strokecolor="#0f243e [1615]" strokeweight="6pt">
                  <v:shadow on="t" color="black" opacity="26214f" origin=".5,-.5" offset="-.74836mm,.74836mm"/>
                  <v:textbox>
                    <w:txbxContent>
                      <w:p w14:paraId="5D7BCF5C" w14:textId="026665EF" w:rsidR="006E5D03" w:rsidRPr="00CD3853" w:rsidRDefault="006E5D03" w:rsidP="006E5D03">
                        <w:pPr>
                          <w:jc w:val="center"/>
                          <w:rPr>
                            <w:b/>
                            <w:bCs/>
                            <w:color w:val="0F243E" w:themeColor="text2" w:themeShade="80"/>
                            <w:sz w:val="32"/>
                            <w:szCs w:val="32"/>
                          </w:rPr>
                        </w:pPr>
                      </w:p>
                    </w:txbxContent>
                  </v:textbox>
                </v:oval>
                <v:group id="Group 8" o:spid="_x0000_s1029" style="position:absolute;top:3837;width:74199;height:7843" coordorigin=",-506" coordsize="74199,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1" o:spid="_x0000_s1030" type="#_x0000_t202" style="position:absolute;top:337;width:13989;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2716ED2" w14:textId="77777777" w:rsidR="006E5D03" w:rsidRPr="0090627C" w:rsidRDefault="006E5D03" w:rsidP="006E5D03">
                          <w:pPr>
                            <w:jc w:val="center"/>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sidRPr="0090627C">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t>COVID-19</w:t>
                          </w:r>
                        </w:p>
                      </w:txbxContent>
                    </v:textbox>
                  </v:shape>
                  <v:shape id="Text Box 4" o:spid="_x0000_s1031" type="#_x0000_t202" style="position:absolute;left:14844;top:-506;width:59355;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ACB47B" w14:textId="0191602A" w:rsidR="00CD4592" w:rsidRPr="00B05C0E" w:rsidRDefault="00F6624B" w:rsidP="00CD4592">
                          <w:pPr>
                            <w:jc w:val="left"/>
                            <w:rPr>
                              <w:rFonts w:ascii="Century Gothic" w:hAnsi="Century Gothic"/>
                              <w:b/>
                              <w:bCs/>
                              <w:color w:val="0F243E" w:themeColor="text2" w:themeShade="80"/>
                              <w:spacing w:val="-20"/>
                              <w:sz w:val="36"/>
                              <w:szCs w:val="36"/>
                              <w14:textOutline w14:w="9525" w14:cap="rnd" w14:cmpd="sng" w14:algn="ctr">
                                <w14:solidFill>
                                  <w14:schemeClr w14:val="tx2">
                                    <w14:lumMod w14:val="50000"/>
                                  </w14:schemeClr>
                                </w14:solidFill>
                                <w14:prstDash w14:val="solid"/>
                                <w14:bevel/>
                              </w14:textOutline>
                            </w:rPr>
                          </w:pPr>
                          <w:r w:rsidRPr="00B05C0E">
                            <w:rPr>
                              <w:rFonts w:ascii="Century Gothic" w:hAnsi="Century Gothic"/>
                              <w:b/>
                              <w:bCs/>
                              <w:color w:val="FFFFFF" w:themeColor="background1"/>
                              <w:sz w:val="36"/>
                              <w:szCs w:val="36"/>
                            </w:rPr>
                            <w:t>Tools for Landlords</w:t>
                          </w:r>
                          <w:r w:rsidR="000E1C86" w:rsidRPr="00B05C0E">
                            <w:rPr>
                              <w:rFonts w:ascii="Century Gothic" w:hAnsi="Century Gothic"/>
                              <w:b/>
                              <w:bCs/>
                              <w:color w:val="FFFFFF" w:themeColor="background1"/>
                              <w:sz w:val="36"/>
                              <w:szCs w:val="36"/>
                            </w:rPr>
                            <w:t xml:space="preserve"> with Tenants Impacted by C</w:t>
                          </w:r>
                          <w:r w:rsidR="00B05C0E" w:rsidRPr="00B05C0E">
                            <w:rPr>
                              <w:rFonts w:ascii="Century Gothic" w:hAnsi="Century Gothic"/>
                              <w:b/>
                              <w:bCs/>
                              <w:color w:val="FFFFFF" w:themeColor="background1"/>
                              <w:sz w:val="36"/>
                              <w:szCs w:val="36"/>
                            </w:rPr>
                            <w:t>OVID</w:t>
                          </w:r>
                          <w:r w:rsidR="000E1C86" w:rsidRPr="00B05C0E">
                            <w:rPr>
                              <w:rFonts w:ascii="Century Gothic" w:hAnsi="Century Gothic"/>
                              <w:b/>
                              <w:bCs/>
                              <w:color w:val="FFFFFF" w:themeColor="background1"/>
                              <w:sz w:val="36"/>
                              <w:szCs w:val="36"/>
                            </w:rPr>
                            <w:t>-</w:t>
                          </w:r>
                          <w:r w:rsidRPr="00B05C0E">
                            <w:rPr>
                              <w:rFonts w:ascii="Century Gothic" w:hAnsi="Century Gothic"/>
                              <w:b/>
                              <w:bCs/>
                              <w:color w:val="FFFFFF" w:themeColor="background1"/>
                              <w:sz w:val="36"/>
                              <w:szCs w:val="36"/>
                            </w:rPr>
                            <w:t>19</w:t>
                          </w:r>
                          <w:r w:rsidR="00CD4592" w:rsidRPr="00B05C0E">
                            <w:rPr>
                              <w:rFonts w:ascii="Century Gothic" w:hAnsi="Century Gothic"/>
                              <w:sz w:val="36"/>
                              <w:szCs w:val="36"/>
                            </w:rPr>
                            <w:br/>
                          </w:r>
                        </w:p>
                      </w:txbxContent>
                    </v:textbox>
                  </v:shape>
                </v:group>
              </v:group>
            </w:pict>
          </mc:Fallback>
        </mc:AlternateContent>
      </w:r>
    </w:p>
    <w:p w14:paraId="31A7AAC9" w14:textId="77777777" w:rsidR="00FC799D" w:rsidRDefault="00FC799D" w:rsidP="00782909">
      <w:pPr>
        <w:pStyle w:val="Heading1"/>
        <w:rPr>
          <w:b w:val="0"/>
          <w:color w:val="000000" w:themeColor="text1"/>
          <w:sz w:val="18"/>
          <w:szCs w:val="18"/>
        </w:rPr>
      </w:pPr>
    </w:p>
    <w:p w14:paraId="084FB46B" w14:textId="77777777" w:rsidR="00FC799D" w:rsidRDefault="00FC799D" w:rsidP="00782909">
      <w:pPr>
        <w:pStyle w:val="Heading1"/>
        <w:rPr>
          <w:b w:val="0"/>
          <w:color w:val="000000" w:themeColor="text1"/>
          <w:sz w:val="18"/>
          <w:szCs w:val="18"/>
        </w:rPr>
      </w:pPr>
    </w:p>
    <w:p w14:paraId="764B1568" w14:textId="77777777" w:rsidR="00440EF5" w:rsidRDefault="00440EF5" w:rsidP="00782909">
      <w:pPr>
        <w:pStyle w:val="Heading1"/>
        <w:rPr>
          <w:b w:val="0"/>
          <w:color w:val="000000" w:themeColor="text1"/>
          <w:sz w:val="18"/>
          <w:szCs w:val="18"/>
        </w:rPr>
      </w:pPr>
    </w:p>
    <w:p w14:paraId="29C8E5A2" w14:textId="77777777" w:rsidR="00440EF5" w:rsidRDefault="00440EF5" w:rsidP="00782909">
      <w:pPr>
        <w:pStyle w:val="Heading1"/>
        <w:rPr>
          <w:b w:val="0"/>
          <w:color w:val="000000" w:themeColor="text1"/>
          <w:sz w:val="18"/>
          <w:szCs w:val="18"/>
        </w:rPr>
      </w:pPr>
    </w:p>
    <w:p w14:paraId="177250A6" w14:textId="379DFBE0" w:rsidR="00782909" w:rsidRPr="00F6624B" w:rsidRDefault="00F6624B" w:rsidP="00782909">
      <w:pPr>
        <w:pStyle w:val="Heading1"/>
        <w:rPr>
          <w:b w:val="0"/>
          <w:sz w:val="18"/>
          <w:szCs w:val="18"/>
        </w:rPr>
      </w:pPr>
      <w:r w:rsidRPr="00F6624B">
        <w:rPr>
          <w:b w:val="0"/>
          <w:color w:val="000000" w:themeColor="text1"/>
          <w:sz w:val="18"/>
          <w:szCs w:val="18"/>
        </w:rPr>
        <w:t xml:space="preserve">Tens of millions of Americans are experiencing job loss, reduced hours, and reduced income due to the </w:t>
      </w:r>
      <w:r w:rsidR="006429F2">
        <w:rPr>
          <w:b w:val="0"/>
          <w:color w:val="000000" w:themeColor="text1"/>
          <w:sz w:val="18"/>
          <w:szCs w:val="18"/>
        </w:rPr>
        <w:t>economic effects</w:t>
      </w:r>
      <w:r w:rsidR="006429F2" w:rsidRPr="00F6624B">
        <w:rPr>
          <w:b w:val="0"/>
          <w:color w:val="000000" w:themeColor="text1"/>
          <w:sz w:val="18"/>
          <w:szCs w:val="18"/>
        </w:rPr>
        <w:t xml:space="preserve"> </w:t>
      </w:r>
      <w:r w:rsidRPr="00F6624B">
        <w:rPr>
          <w:b w:val="0"/>
          <w:color w:val="000000" w:themeColor="text1"/>
          <w:sz w:val="18"/>
          <w:szCs w:val="18"/>
        </w:rPr>
        <w:t xml:space="preserve">of COVID-19.  Many residents are also facing new challenges, such as loss of childcare, limited access to healthcare, illness, death of loved ones, increased incidents of domestic violence, rising costs for basic needs, and fear of uncertainty.  </w:t>
      </w:r>
      <w:r w:rsidR="00592067" w:rsidRPr="00592067">
        <w:rPr>
          <w:b w:val="0"/>
          <w:color w:val="000000" w:themeColor="text1"/>
          <w:sz w:val="18"/>
          <w:szCs w:val="18"/>
        </w:rPr>
        <w:t>Nationally landlords have been or are still under a wide variety of federal, state, and local moratoriums</w:t>
      </w:r>
      <w:r w:rsidR="00592067">
        <w:rPr>
          <w:b w:val="0"/>
          <w:color w:val="000000" w:themeColor="text1"/>
          <w:sz w:val="18"/>
          <w:szCs w:val="18"/>
        </w:rPr>
        <w:t xml:space="preserve"> </w:t>
      </w:r>
      <w:r w:rsidR="00592067" w:rsidRPr="00592067">
        <w:rPr>
          <w:b w:val="0"/>
          <w:color w:val="000000" w:themeColor="text1"/>
          <w:sz w:val="18"/>
          <w:szCs w:val="18"/>
        </w:rPr>
        <w:t>on evictions, late fees, and penalties related to nonpayment of rent</w:t>
      </w:r>
      <w:r w:rsidR="00592067">
        <w:rPr>
          <w:b w:val="0"/>
          <w:color w:val="000000" w:themeColor="text1"/>
          <w:sz w:val="18"/>
          <w:szCs w:val="18"/>
        </w:rPr>
        <w:t xml:space="preserve">, and even </w:t>
      </w:r>
      <w:r w:rsidR="006E26BB">
        <w:rPr>
          <w:b w:val="0"/>
          <w:color w:val="000000" w:themeColor="text1"/>
          <w:sz w:val="18"/>
          <w:szCs w:val="18"/>
        </w:rPr>
        <w:t>as certain</w:t>
      </w:r>
      <w:r w:rsidR="00592067">
        <w:rPr>
          <w:b w:val="0"/>
          <w:color w:val="000000" w:themeColor="text1"/>
          <w:sz w:val="18"/>
          <w:szCs w:val="18"/>
        </w:rPr>
        <w:t xml:space="preserve"> federal </w:t>
      </w:r>
      <w:r w:rsidR="006E26BB">
        <w:rPr>
          <w:b w:val="0"/>
          <w:color w:val="000000" w:themeColor="text1"/>
          <w:sz w:val="18"/>
          <w:szCs w:val="18"/>
        </w:rPr>
        <w:t>moratori</w:t>
      </w:r>
      <w:r w:rsidR="00967AC9">
        <w:rPr>
          <w:b w:val="0"/>
          <w:color w:val="000000" w:themeColor="text1"/>
          <w:sz w:val="18"/>
          <w:szCs w:val="18"/>
        </w:rPr>
        <w:t xml:space="preserve">ums </w:t>
      </w:r>
      <w:r w:rsidR="006E26BB">
        <w:rPr>
          <w:b w:val="0"/>
          <w:color w:val="000000" w:themeColor="text1"/>
          <w:sz w:val="18"/>
          <w:szCs w:val="18"/>
        </w:rPr>
        <w:t xml:space="preserve">are </w:t>
      </w:r>
      <w:r w:rsidR="00592067">
        <w:rPr>
          <w:b w:val="0"/>
          <w:color w:val="000000" w:themeColor="text1"/>
          <w:sz w:val="18"/>
          <w:szCs w:val="18"/>
        </w:rPr>
        <w:t>lifted, state and local moratoriums may remain in place</w:t>
      </w:r>
      <w:r w:rsidR="00592067" w:rsidRPr="00592067">
        <w:rPr>
          <w:b w:val="0"/>
          <w:color w:val="000000" w:themeColor="text1"/>
          <w:sz w:val="18"/>
          <w:szCs w:val="18"/>
        </w:rPr>
        <w:t>.</w:t>
      </w:r>
      <w:r w:rsidR="00592067">
        <w:rPr>
          <w:b w:val="0"/>
          <w:color w:val="000000" w:themeColor="text1"/>
          <w:sz w:val="18"/>
          <w:szCs w:val="18"/>
        </w:rPr>
        <w:t xml:space="preserve"> </w:t>
      </w:r>
      <w:r w:rsidR="00440EF5">
        <w:rPr>
          <w:b w:val="0"/>
          <w:color w:val="000000" w:themeColor="text1"/>
          <w:sz w:val="18"/>
          <w:szCs w:val="18"/>
        </w:rPr>
        <w:t>T</w:t>
      </w:r>
      <w:r w:rsidRPr="00F6624B">
        <w:rPr>
          <w:b w:val="0"/>
          <w:color w:val="000000" w:themeColor="text1"/>
          <w:sz w:val="18"/>
          <w:szCs w:val="18"/>
        </w:rPr>
        <w:t>he process of evicting residents can be costly to landlords, from court and legal fees to unit turnover costs. With many tenants unable to pay rent, landlords have been offering tenants flexibility in repaying missed rent. These options can be used in combination:</w:t>
      </w:r>
    </w:p>
    <w:p w14:paraId="537A74E2" w14:textId="77777777" w:rsidR="00F6624B" w:rsidRDefault="00F6624B" w:rsidP="00F6624B">
      <w:pPr>
        <w:numPr>
          <w:ilvl w:val="0"/>
          <w:numId w:val="14"/>
        </w:numPr>
        <w:spacing w:after="0"/>
      </w:pPr>
      <w:r>
        <w:t>Deferring or reducing payment of past due rent</w:t>
      </w:r>
    </w:p>
    <w:p w14:paraId="1BE2D234" w14:textId="77777777" w:rsidR="00F6624B" w:rsidRDefault="00F6624B" w:rsidP="00F6624B">
      <w:pPr>
        <w:numPr>
          <w:ilvl w:val="0"/>
          <w:numId w:val="14"/>
        </w:numPr>
        <w:spacing w:after="0"/>
      </w:pPr>
      <w:r>
        <w:t>Deferring or reducing future rent payments until tenant’s income increases</w:t>
      </w:r>
    </w:p>
    <w:p w14:paraId="67A6CF08" w14:textId="77777777" w:rsidR="00F6624B" w:rsidRDefault="00F6624B" w:rsidP="000C6ED7">
      <w:pPr>
        <w:numPr>
          <w:ilvl w:val="0"/>
          <w:numId w:val="14"/>
        </w:numPr>
        <w:spacing w:after="120"/>
      </w:pPr>
      <w:r>
        <w:t>Applying a security deposit or last month’s rent to unpaid rent (if allowed by law)</w:t>
      </w:r>
    </w:p>
    <w:p w14:paraId="26F33959" w14:textId="7374A2A9" w:rsidR="00782909" w:rsidRDefault="00F6624B" w:rsidP="000E1C86">
      <w:r>
        <w:t xml:space="preserve">It is important to follow fair housing laws as you make your decisions on </w:t>
      </w:r>
      <w:proofErr w:type="gramStart"/>
      <w:r>
        <w:t>whether or not</w:t>
      </w:r>
      <w:proofErr w:type="gramEnd"/>
      <w:r>
        <w:t xml:space="preserve"> to offer plans to individual tenants. Under federal law, you cannot discriminate based on race, ethnicity, family status, disability, or other factors. Some localities and states also prohibit unequal treatment based on the tenant’s source of income (housing assistance, child support, disability payments, </w:t>
      </w:r>
      <w:proofErr w:type="spellStart"/>
      <w:r>
        <w:t>etc</w:t>
      </w:r>
      <w:proofErr w:type="spellEnd"/>
      <w:r>
        <w:t>).</w:t>
      </w:r>
    </w:p>
    <w:p w14:paraId="23DF1614" w14:textId="3467B4AE" w:rsidR="00782909" w:rsidRDefault="00F6624B" w:rsidP="00782909">
      <w:pPr>
        <w:pStyle w:val="Heading1"/>
      </w:pPr>
      <w:r>
        <w:t>Engagin</w:t>
      </w:r>
      <w:r w:rsidR="000E1C86">
        <w:t xml:space="preserve">g </w:t>
      </w:r>
      <w:r>
        <w:t>Tenants to Avoid Evictions</w:t>
      </w:r>
      <w:r w:rsidR="00782909">
        <w:t xml:space="preserve"> </w:t>
      </w:r>
    </w:p>
    <w:p w14:paraId="093187A6" w14:textId="77777777" w:rsidR="00F6624B" w:rsidRDefault="00F6624B" w:rsidP="00F6624B">
      <w:pPr>
        <w:pStyle w:val="Heading2"/>
      </w:pPr>
      <w:bookmarkStart w:id="2" w:name="_heading=h.q4a36wkqzht2" w:colFirst="0" w:colLast="0"/>
      <w:bookmarkEnd w:id="2"/>
      <w:r>
        <w:t>Targeting Engagement to At-Risk Tenants</w:t>
      </w:r>
    </w:p>
    <w:p w14:paraId="4C2DA7C5" w14:textId="77777777" w:rsidR="00F6624B" w:rsidRDefault="00F6624B" w:rsidP="00F6624B">
      <w:r>
        <w:t>Be proactive to engage your tenants to improve retention and rent repayment.</w:t>
      </w:r>
    </w:p>
    <w:p w14:paraId="0E8A20D0" w14:textId="42D49F9C" w:rsidR="00F6624B" w:rsidRDefault="00F6624B" w:rsidP="00F6624B">
      <w:pPr>
        <w:numPr>
          <w:ilvl w:val="0"/>
          <w:numId w:val="15"/>
        </w:numPr>
        <w:spacing w:after="0"/>
      </w:pPr>
      <w:r>
        <w:t>Identify how many and which households are behind on rent rather than making general announcements about assistance.</w:t>
      </w:r>
    </w:p>
    <w:p w14:paraId="641982C8" w14:textId="25FD9EB0" w:rsidR="00F6624B" w:rsidRDefault="14BC71EA" w:rsidP="00F6624B">
      <w:pPr>
        <w:numPr>
          <w:ilvl w:val="0"/>
          <w:numId w:val="15"/>
        </w:numPr>
        <w:spacing w:after="0"/>
      </w:pPr>
      <w:r>
        <w:t>Consider m</w:t>
      </w:r>
      <w:r w:rsidR="00F6624B">
        <w:t>odify</w:t>
      </w:r>
      <w:r w:rsidR="4547A1D6">
        <w:t>ing</w:t>
      </w:r>
      <w:r w:rsidR="00F6624B">
        <w:t xml:space="preserve"> policies that require an initial large payment before smaller regular payments can begin</w:t>
      </w:r>
      <w:r w:rsidR="001A3A41">
        <w:t>.</w:t>
      </w:r>
    </w:p>
    <w:p w14:paraId="41BB2DD7" w14:textId="599AC559" w:rsidR="00F6624B" w:rsidRDefault="00F6624B" w:rsidP="00F6624B">
      <w:pPr>
        <w:numPr>
          <w:ilvl w:val="0"/>
          <w:numId w:val="15"/>
        </w:numPr>
        <w:spacing w:after="0"/>
      </w:pPr>
      <w:r>
        <w:t xml:space="preserve">Communicate with households that are behind on rent to ensure they understand rent payments are expected during </w:t>
      </w:r>
      <w:r w:rsidR="001A3A41">
        <w:t xml:space="preserve">any </w:t>
      </w:r>
      <w:r>
        <w:t xml:space="preserve">moratorium. Tenant advocacy groups report some households mistakenly believe that they do not need to pay rent during </w:t>
      </w:r>
      <w:r w:rsidR="001A3A41">
        <w:t xml:space="preserve">an eviction </w:t>
      </w:r>
      <w:r>
        <w:t>moratorium.</w:t>
      </w:r>
    </w:p>
    <w:p w14:paraId="44DA5C42" w14:textId="17961CF1" w:rsidR="00F6624B" w:rsidRDefault="00F6624B" w:rsidP="00F6624B">
      <w:pPr>
        <w:numPr>
          <w:ilvl w:val="0"/>
          <w:numId w:val="15"/>
        </w:numPr>
        <w:spacing w:after="0"/>
      </w:pPr>
      <w:r>
        <w:t xml:space="preserve">Include information about available safety net benefits with rent reminder notices and discuss benefit options </w:t>
      </w:r>
      <w:r w:rsidR="3325E83D">
        <w:t xml:space="preserve">that you know about </w:t>
      </w:r>
      <w:r>
        <w:t xml:space="preserve">during one-on-one conversations with tenants. Key benefits </w:t>
      </w:r>
      <w:r w:rsidR="07B08884">
        <w:t xml:space="preserve">may </w:t>
      </w:r>
      <w:r>
        <w:t>include unemployment benefits, economic impact payments (stimulus payments), tax refunds such as the Earned Income Tax Credit (EITC), utility assistance or payment plans, and local rent and utility assistance resources.</w:t>
      </w:r>
    </w:p>
    <w:p w14:paraId="081230F0" w14:textId="6BE64FE5" w:rsidR="00F6624B" w:rsidRDefault="00F6624B" w:rsidP="00F6624B">
      <w:pPr>
        <w:numPr>
          <w:ilvl w:val="0"/>
          <w:numId w:val="15"/>
        </w:numPr>
      </w:pPr>
      <w:r>
        <w:t xml:space="preserve">Ask residents with limited English proficiency or individuals with disabilities if there is </w:t>
      </w:r>
      <w:proofErr w:type="gramStart"/>
      <w:r>
        <w:t>anyone</w:t>
      </w:r>
      <w:proofErr w:type="gramEnd"/>
      <w:r>
        <w:t xml:space="preserve"> they would like to include in the conversation to support their understanding of the steps they can take to maintain their housing. (i.e. a</w:t>
      </w:r>
      <w:r w:rsidR="000E1C86">
        <w:t xml:space="preserve"> family member or case manager).</w:t>
      </w:r>
    </w:p>
    <w:p w14:paraId="681CB8E3" w14:textId="77777777" w:rsidR="00F6624B" w:rsidRPr="00C76B05" w:rsidRDefault="00F6624B" w:rsidP="00F6624B">
      <w:pPr>
        <w:pStyle w:val="Heading2"/>
      </w:pPr>
      <w:r>
        <w:t>What questions should you ask At-Risk Tenants?</w:t>
      </w:r>
    </w:p>
    <w:p w14:paraId="30EDDC25" w14:textId="77777777" w:rsidR="00F6624B" w:rsidRPr="00593CF0" w:rsidRDefault="00F6624B" w:rsidP="00F6624B">
      <w:pPr>
        <w:pStyle w:val="Heading2"/>
        <w:numPr>
          <w:ilvl w:val="0"/>
          <w:numId w:val="16"/>
        </w:numPr>
        <w:spacing w:before="0"/>
        <w:rPr>
          <w:b w:val="0"/>
          <w:color w:val="000000"/>
          <w:sz w:val="18"/>
          <w:szCs w:val="18"/>
        </w:rPr>
      </w:pPr>
      <w:r w:rsidRPr="00593CF0">
        <w:rPr>
          <w:rFonts w:ascii="Verdana" w:eastAsia="Verdana" w:hAnsi="Verdana" w:cs="Verdana"/>
          <w:b w:val="0"/>
          <w:color w:val="000000"/>
          <w:sz w:val="18"/>
          <w:szCs w:val="18"/>
        </w:rPr>
        <w:t>Could you tell me why you are asking for a repayment plan?</w:t>
      </w:r>
    </w:p>
    <w:p w14:paraId="30233EB3" w14:textId="6DA28423" w:rsidR="00F6624B" w:rsidRDefault="00F6624B" w:rsidP="6B8C7E12">
      <w:pPr>
        <w:numPr>
          <w:ilvl w:val="0"/>
          <w:numId w:val="17"/>
        </w:numPr>
        <w:spacing w:after="0"/>
        <w:rPr>
          <w:b/>
          <w:bCs/>
        </w:rPr>
      </w:pPr>
      <w:r w:rsidRPr="6B8C7E12">
        <w:rPr>
          <w:rFonts w:eastAsia="Verdana" w:cs="Verdana"/>
          <w:i/>
          <w:iCs/>
          <w:color w:val="000000" w:themeColor="text1"/>
        </w:rPr>
        <w:t>How much was your total monthly income before COVID-19? How much is it now?</w:t>
      </w:r>
      <w:r w:rsidRPr="6B8C7E12">
        <w:rPr>
          <w:rFonts w:eastAsia="Verdana" w:cs="Verdana"/>
          <w:b/>
          <w:bCs/>
          <w:color w:val="000000" w:themeColor="text1"/>
        </w:rPr>
        <w:t xml:space="preserve">  </w:t>
      </w:r>
      <w:r w:rsidRPr="6B8C7E12">
        <w:rPr>
          <w:b/>
          <w:bCs/>
        </w:rPr>
        <w:t>Be sure not to ask impermissible questions about the source of income.</w:t>
      </w:r>
      <w:r w:rsidR="00384320">
        <w:t xml:space="preserve"> (Check </w:t>
      </w:r>
      <w:r w:rsidR="002B2B87">
        <w:t xml:space="preserve">for </w:t>
      </w:r>
      <w:r w:rsidR="00384320">
        <w:t>state and local statutes governing source of income questions.)</w:t>
      </w:r>
    </w:p>
    <w:p w14:paraId="3D9853E4" w14:textId="63287DE1" w:rsidR="00F6624B" w:rsidRDefault="00F6624B" w:rsidP="00F6624B">
      <w:pPr>
        <w:pStyle w:val="Heading2"/>
        <w:numPr>
          <w:ilvl w:val="0"/>
          <w:numId w:val="16"/>
        </w:numPr>
        <w:spacing w:before="0"/>
        <w:rPr>
          <w:b w:val="0"/>
          <w:color w:val="000000"/>
          <w:sz w:val="18"/>
          <w:szCs w:val="18"/>
        </w:rPr>
      </w:pPr>
      <w:r>
        <w:rPr>
          <w:rFonts w:ascii="Verdana" w:eastAsia="Verdana" w:hAnsi="Verdana" w:cs="Verdana"/>
          <w:b w:val="0"/>
          <w:color w:val="000000"/>
          <w:sz w:val="18"/>
          <w:szCs w:val="18"/>
        </w:rPr>
        <w:t>How long do you think your income will stay at the level it is now?</w:t>
      </w:r>
    </w:p>
    <w:p w14:paraId="1BE63F18" w14:textId="3C3F84A1" w:rsidR="00F6624B" w:rsidRPr="00593CF0" w:rsidRDefault="00F6624B" w:rsidP="6B8C7E12">
      <w:pPr>
        <w:pStyle w:val="Heading2"/>
        <w:numPr>
          <w:ilvl w:val="0"/>
          <w:numId w:val="16"/>
        </w:numPr>
        <w:spacing w:before="0"/>
        <w:rPr>
          <w:i w:val="0"/>
          <w:color w:val="000000"/>
          <w:sz w:val="18"/>
          <w:szCs w:val="18"/>
        </w:rPr>
      </w:pPr>
      <w:r w:rsidRPr="6B8C7E12">
        <w:rPr>
          <w:rFonts w:ascii="Verdana" w:hAnsi="Verdana"/>
          <w:b w:val="0"/>
          <w:color w:val="000000" w:themeColor="text1"/>
          <w:sz w:val="18"/>
          <w:szCs w:val="18"/>
        </w:rPr>
        <w:t xml:space="preserve">Have </w:t>
      </w:r>
      <w:r w:rsidRPr="6B8C7E12">
        <w:rPr>
          <w:rFonts w:ascii="Verdana" w:eastAsia="Verdana" w:hAnsi="Verdana" w:cs="Verdana"/>
          <w:b w:val="0"/>
          <w:color w:val="000000" w:themeColor="text1"/>
          <w:sz w:val="18"/>
          <w:szCs w:val="18"/>
        </w:rPr>
        <w:t>you applied for unemployment or any other assistance (e.g., help paying bills)?</w:t>
      </w:r>
      <w:r w:rsidRPr="6B8C7E12">
        <w:rPr>
          <w:rFonts w:eastAsia="Verdana" w:cs="Verdana"/>
          <w:color w:val="000000" w:themeColor="text1"/>
        </w:rPr>
        <w:t xml:space="preserve"> </w:t>
      </w:r>
      <w:proofErr w:type="gramStart"/>
      <w:r w:rsidRPr="6B8C7E12">
        <w:rPr>
          <w:rFonts w:ascii="Verdana" w:eastAsia="Verdana" w:hAnsi="Verdana" w:cs="Verdana"/>
          <w:i w:val="0"/>
          <w:color w:val="000000" w:themeColor="text1"/>
          <w:sz w:val="18"/>
          <w:szCs w:val="18"/>
        </w:rPr>
        <w:t>Again</w:t>
      </w:r>
      <w:proofErr w:type="gramEnd"/>
      <w:r w:rsidRPr="6B8C7E12">
        <w:rPr>
          <w:rFonts w:ascii="Verdana" w:eastAsia="Verdana" w:hAnsi="Verdana" w:cs="Verdana"/>
          <w:i w:val="0"/>
          <w:color w:val="000000" w:themeColor="text1"/>
          <w:sz w:val="18"/>
          <w:szCs w:val="18"/>
        </w:rPr>
        <w:t xml:space="preserve"> be sure to avoid questions that may </w:t>
      </w:r>
      <w:r w:rsidR="001A3A41" w:rsidRPr="6B8C7E12">
        <w:rPr>
          <w:rFonts w:ascii="Verdana" w:eastAsia="Verdana" w:hAnsi="Verdana" w:cs="Verdana"/>
          <w:i w:val="0"/>
          <w:color w:val="000000" w:themeColor="text1"/>
          <w:sz w:val="18"/>
          <w:szCs w:val="18"/>
        </w:rPr>
        <w:t>violate fair housing laws or regulations</w:t>
      </w:r>
      <w:r w:rsidRPr="6B8C7E12">
        <w:rPr>
          <w:rFonts w:ascii="Verdana" w:eastAsia="Verdana" w:hAnsi="Verdana" w:cs="Verdana"/>
          <w:i w:val="0"/>
          <w:color w:val="000000" w:themeColor="text1"/>
          <w:sz w:val="18"/>
          <w:szCs w:val="18"/>
        </w:rPr>
        <w:t>.</w:t>
      </w:r>
      <w:r w:rsidR="002B2B87">
        <w:rPr>
          <w:rFonts w:ascii="Verdana" w:eastAsia="Verdana" w:hAnsi="Verdana" w:cs="Verdana"/>
          <w:b w:val="0"/>
          <w:bCs/>
          <w:i w:val="0"/>
          <w:color w:val="000000" w:themeColor="text1"/>
          <w:sz w:val="18"/>
          <w:szCs w:val="18"/>
        </w:rPr>
        <w:t xml:space="preserve"> (Check state and local fair housing statutes and see rights and obligations under the federal Fair Housing Act: </w:t>
      </w:r>
      <w:r w:rsidR="002B2B87" w:rsidRPr="002B2B87">
        <w:rPr>
          <w:rFonts w:ascii="Verdana" w:eastAsia="Verdana" w:hAnsi="Verdana" w:cs="Verdana"/>
          <w:b w:val="0"/>
          <w:bCs/>
          <w:i w:val="0"/>
          <w:color w:val="000000" w:themeColor="text1"/>
          <w:sz w:val="18"/>
          <w:szCs w:val="18"/>
        </w:rPr>
        <w:t>https://www.hud.gov/program_offices/fair_housing_equal_opp/fair_housing_rights_and_obligations</w:t>
      </w:r>
      <w:r w:rsidR="002B2B87">
        <w:rPr>
          <w:rFonts w:ascii="Verdana" w:eastAsia="Verdana" w:hAnsi="Verdana" w:cs="Verdana"/>
          <w:b w:val="0"/>
          <w:bCs/>
          <w:i w:val="0"/>
          <w:color w:val="000000" w:themeColor="text1"/>
          <w:sz w:val="18"/>
          <w:szCs w:val="18"/>
        </w:rPr>
        <w:t>.)</w:t>
      </w:r>
    </w:p>
    <w:p w14:paraId="0F892E57" w14:textId="7E8146E5" w:rsidR="00782909" w:rsidRDefault="00F6624B" w:rsidP="00F6624B">
      <w:pPr>
        <w:numPr>
          <w:ilvl w:val="0"/>
          <w:numId w:val="17"/>
        </w:numPr>
        <w:spacing w:after="0"/>
      </w:pPr>
      <w:r w:rsidRPr="00F6624B">
        <w:rPr>
          <w:rFonts w:eastAsia="Verdana" w:cs="Verdana"/>
          <w:color w:val="000000"/>
          <w:szCs w:val="18"/>
        </w:rPr>
        <w:t>Have you reached out to any family or friends who might be able to help you pay your rent? Have you reached out to a bank or a credit union for a loan that you could use to pay your rent?</w:t>
      </w:r>
    </w:p>
    <w:p w14:paraId="0FCB6667" w14:textId="5FCB665E" w:rsidR="00F6624B" w:rsidRDefault="00F6624B" w:rsidP="00F6624B">
      <w:pPr>
        <w:numPr>
          <w:ilvl w:val="0"/>
          <w:numId w:val="17"/>
        </w:numPr>
        <w:spacing w:after="0"/>
      </w:pPr>
      <w:r>
        <w:t xml:space="preserve">How many months do you think the repayment plan needs to be </w:t>
      </w:r>
      <w:proofErr w:type="gramStart"/>
      <w:r>
        <w:t>in order to</w:t>
      </w:r>
      <w:proofErr w:type="gramEnd"/>
      <w:r>
        <w:t xml:space="preserve"> help you catch up?</w:t>
      </w:r>
    </w:p>
    <w:p w14:paraId="3EFE8F12" w14:textId="051BC073" w:rsidR="00440EF5" w:rsidRDefault="00440EF5">
      <w:pPr>
        <w:jc w:val="left"/>
        <w:rPr>
          <w:rFonts w:asciiTheme="majorHAnsi" w:eastAsiaTheme="majorEastAsia" w:hAnsiTheme="majorHAnsi" w:cstheme="majorBidi"/>
          <w:b/>
          <w:i/>
          <w:color w:val="05566F"/>
          <w:sz w:val="24"/>
          <w:szCs w:val="28"/>
        </w:rPr>
      </w:pPr>
      <w:r>
        <w:br w:type="page"/>
      </w:r>
    </w:p>
    <w:p w14:paraId="18D7E9E3" w14:textId="45789BD2" w:rsidR="00F6624B" w:rsidRDefault="00F6624B" w:rsidP="00440EF5">
      <w:pPr>
        <w:pStyle w:val="Heading2"/>
        <w:spacing w:before="0"/>
      </w:pPr>
      <w:r>
        <w:lastRenderedPageBreak/>
        <w:t>What documentation should you require?</w:t>
      </w:r>
    </w:p>
    <w:p w14:paraId="2E3466C2" w14:textId="77777777" w:rsidR="00F6624B" w:rsidRDefault="00F6624B" w:rsidP="00F6624B">
      <w:r>
        <w:t>Making sure that you are following fair housing and disability rights laws, you might want to ask tenants to document their need for assistance. Some examples of documentation might include:</w:t>
      </w:r>
    </w:p>
    <w:p w14:paraId="2B56EA48" w14:textId="4CBDAE62" w:rsidR="00F6624B" w:rsidRDefault="00B05C0E" w:rsidP="00F6624B">
      <w:pPr>
        <w:numPr>
          <w:ilvl w:val="0"/>
          <w:numId w:val="15"/>
        </w:numPr>
        <w:spacing w:after="0"/>
      </w:pPr>
      <w:r>
        <w:t>Healthcare professional</w:t>
      </w:r>
      <w:r w:rsidR="00F6624B">
        <w:t xml:space="preserve"> note that tenant was unable to work due to illness (or dependent required care)</w:t>
      </w:r>
    </w:p>
    <w:p w14:paraId="4066A2C6" w14:textId="77777777" w:rsidR="00F6624B" w:rsidRDefault="00F6624B" w:rsidP="00F6624B">
      <w:pPr>
        <w:numPr>
          <w:ilvl w:val="0"/>
          <w:numId w:val="15"/>
        </w:numPr>
        <w:spacing w:after="0"/>
      </w:pPr>
      <w:r>
        <w:t>Termination or furlough notice</w:t>
      </w:r>
    </w:p>
    <w:p w14:paraId="3C7F5EDF" w14:textId="77777777" w:rsidR="00F6624B" w:rsidRDefault="00F6624B" w:rsidP="00F6624B">
      <w:pPr>
        <w:numPr>
          <w:ilvl w:val="0"/>
          <w:numId w:val="15"/>
        </w:numPr>
        <w:spacing w:after="0"/>
      </w:pPr>
      <w:r>
        <w:t>Pay stubs reflecting reduced hours</w:t>
      </w:r>
    </w:p>
    <w:p w14:paraId="7D675BC9" w14:textId="77777777" w:rsidR="00F6624B" w:rsidRDefault="00F6624B" w:rsidP="00F6624B">
      <w:pPr>
        <w:numPr>
          <w:ilvl w:val="0"/>
          <w:numId w:val="15"/>
        </w:numPr>
        <w:spacing w:after="0"/>
      </w:pPr>
      <w:r>
        <w:t>Bank statement reflecting reduced income</w:t>
      </w:r>
    </w:p>
    <w:p w14:paraId="013938DE" w14:textId="77777777" w:rsidR="00F6624B" w:rsidRDefault="00F6624B" w:rsidP="00F6624B">
      <w:pPr>
        <w:numPr>
          <w:ilvl w:val="0"/>
          <w:numId w:val="15"/>
        </w:numPr>
      </w:pPr>
      <w:r>
        <w:t>Signed letters from employer or bank</w:t>
      </w:r>
    </w:p>
    <w:p w14:paraId="3400AE1C" w14:textId="77777777" w:rsidR="00F6624B" w:rsidRDefault="00F6624B" w:rsidP="00F6624B">
      <w:pPr>
        <w:pStyle w:val="Heading1"/>
      </w:pPr>
      <w:r>
        <w:t>What Are the Key Elements of a Repayment Plan?</w:t>
      </w:r>
    </w:p>
    <w:p w14:paraId="19243533" w14:textId="53968EBE" w:rsidR="00F6624B" w:rsidRDefault="00F6624B" w:rsidP="00F6624B">
      <w:r>
        <w:t xml:space="preserve">Links to numerous sample repayment plans are at the end of this document. If you decide to create your own agreement, below are some key elements to consider including in the document. </w:t>
      </w:r>
      <w:bookmarkStart w:id="3" w:name="_Hlk44519080"/>
      <w:r w:rsidRPr="00440EF5">
        <w:rPr>
          <w:i/>
          <w:iCs/>
        </w:rPr>
        <w:t>This list does not constitute or substitute for legal advice</w:t>
      </w:r>
      <w:r>
        <w:t>.</w:t>
      </w:r>
    </w:p>
    <w:bookmarkEnd w:id="3"/>
    <w:p w14:paraId="1D19B4E1" w14:textId="77777777" w:rsidR="00F6624B" w:rsidRDefault="00F6624B" w:rsidP="00F6624B">
      <w:pPr>
        <w:numPr>
          <w:ilvl w:val="0"/>
          <w:numId w:val="18"/>
        </w:numPr>
        <w:spacing w:after="0"/>
      </w:pPr>
      <w:r>
        <w:t>The delinquent rent payments (if any) future rent payments (if any) included in the repayment amount.</w:t>
      </w:r>
    </w:p>
    <w:p w14:paraId="7E3CDCEC" w14:textId="77777777" w:rsidR="00F6624B" w:rsidRDefault="00F6624B" w:rsidP="00F6624B">
      <w:pPr>
        <w:numPr>
          <w:ilvl w:val="0"/>
          <w:numId w:val="18"/>
        </w:numPr>
        <w:spacing w:after="0"/>
      </w:pPr>
      <w:r>
        <w:t>The amount of any security deposit or last month's rent (if allowed under local or state law) to be applied to reduce the repayment amount.</w:t>
      </w:r>
    </w:p>
    <w:p w14:paraId="7FF44AFB" w14:textId="77777777" w:rsidR="00F6624B" w:rsidRDefault="00F6624B" w:rsidP="00F6624B">
      <w:pPr>
        <w:numPr>
          <w:ilvl w:val="0"/>
          <w:numId w:val="18"/>
        </w:numPr>
        <w:spacing w:after="0"/>
      </w:pPr>
      <w:r>
        <w:t>Any voluntary reductions by the landlord of past or future rent owed.</w:t>
      </w:r>
    </w:p>
    <w:p w14:paraId="59ED8C1F" w14:textId="77777777" w:rsidR="00F6624B" w:rsidRDefault="00F6624B" w:rsidP="00F6624B">
      <w:pPr>
        <w:numPr>
          <w:ilvl w:val="0"/>
          <w:numId w:val="18"/>
        </w:numPr>
        <w:spacing w:after="0"/>
      </w:pPr>
      <w:r>
        <w:t>The amount of any late fees, interest, or penalties that have been added (if allowed).</w:t>
      </w:r>
    </w:p>
    <w:p w14:paraId="092574BB" w14:textId="77777777" w:rsidR="00F6624B" w:rsidRDefault="00F6624B" w:rsidP="00F6624B">
      <w:pPr>
        <w:numPr>
          <w:ilvl w:val="0"/>
          <w:numId w:val="18"/>
        </w:numPr>
        <w:spacing w:after="0"/>
      </w:pPr>
      <w:r>
        <w:t>The total amount subject to repayment.</w:t>
      </w:r>
    </w:p>
    <w:p w14:paraId="7CFBD9E2" w14:textId="77777777" w:rsidR="00F6624B" w:rsidRDefault="00F6624B" w:rsidP="00F6624B">
      <w:pPr>
        <w:numPr>
          <w:ilvl w:val="0"/>
          <w:numId w:val="18"/>
        </w:numPr>
        <w:spacing w:after="0"/>
      </w:pPr>
      <w:r>
        <w:t>A payment schedule, with the due date and amount of each payment, agreed to by the tenant.</w:t>
      </w:r>
    </w:p>
    <w:p w14:paraId="64E2BCE5" w14:textId="77777777" w:rsidR="00F6624B" w:rsidRDefault="00F6624B" w:rsidP="00F6624B">
      <w:pPr>
        <w:numPr>
          <w:ilvl w:val="0"/>
          <w:numId w:val="18"/>
        </w:numPr>
        <w:spacing w:after="0"/>
      </w:pPr>
      <w:r>
        <w:t>An indication of whether these payments include or exclude future rent.</w:t>
      </w:r>
    </w:p>
    <w:p w14:paraId="69757887" w14:textId="77777777" w:rsidR="00F6624B" w:rsidRDefault="00F6624B" w:rsidP="00F6624B">
      <w:pPr>
        <w:numPr>
          <w:ilvl w:val="0"/>
          <w:numId w:val="18"/>
        </w:numPr>
        <w:spacing w:after="0"/>
      </w:pPr>
      <w:r>
        <w:t>Acknowledgement that all other provisions of the original lease remain in force.</w:t>
      </w:r>
    </w:p>
    <w:p w14:paraId="5A9DBCFE" w14:textId="77777777" w:rsidR="00F6624B" w:rsidRDefault="00F6624B" w:rsidP="00F6624B">
      <w:pPr>
        <w:numPr>
          <w:ilvl w:val="0"/>
          <w:numId w:val="18"/>
        </w:numPr>
        <w:spacing w:after="0"/>
      </w:pPr>
      <w:r>
        <w:t>An agreement by the landlord not to commence eviction based on nonpayment or submit any negative information to credit reporting agencies if payments are made as scheduled.</w:t>
      </w:r>
    </w:p>
    <w:p w14:paraId="70682FF7" w14:textId="77777777" w:rsidR="00F6624B" w:rsidRDefault="00F6624B" w:rsidP="00F6624B">
      <w:pPr>
        <w:numPr>
          <w:ilvl w:val="0"/>
          <w:numId w:val="18"/>
        </w:numPr>
        <w:spacing w:after="0"/>
      </w:pPr>
      <w:r>
        <w:t>The tenant’s acknowledgement of the consequences of one or more late payments:</w:t>
      </w:r>
    </w:p>
    <w:p w14:paraId="680512CF" w14:textId="77777777" w:rsidR="00F6624B" w:rsidRDefault="00F6624B" w:rsidP="00F6624B">
      <w:pPr>
        <w:numPr>
          <w:ilvl w:val="1"/>
          <w:numId w:val="18"/>
        </w:numPr>
        <w:spacing w:after="0"/>
      </w:pPr>
      <w:r>
        <w:t xml:space="preserve"> All unpaid rent becomes due immediately.</w:t>
      </w:r>
    </w:p>
    <w:p w14:paraId="25AF879C" w14:textId="77777777" w:rsidR="00F6624B" w:rsidRDefault="00F6624B" w:rsidP="00F6624B">
      <w:pPr>
        <w:numPr>
          <w:ilvl w:val="1"/>
          <w:numId w:val="18"/>
        </w:numPr>
        <w:spacing w:after="0"/>
      </w:pPr>
      <w:r>
        <w:t xml:space="preserve"> The landlord may initiate eviction and reclaim possession of the premises.</w:t>
      </w:r>
    </w:p>
    <w:p w14:paraId="59F2418A" w14:textId="77777777" w:rsidR="00F6624B" w:rsidRDefault="00F6624B" w:rsidP="00F6624B">
      <w:pPr>
        <w:numPr>
          <w:ilvl w:val="1"/>
          <w:numId w:val="18"/>
        </w:numPr>
        <w:spacing w:after="0"/>
      </w:pPr>
      <w:r>
        <w:t xml:space="preserve"> The landlord may pursue other remedies to obtain unpaid funds.</w:t>
      </w:r>
    </w:p>
    <w:p w14:paraId="3DC92B1E" w14:textId="77777777" w:rsidR="00F6624B" w:rsidRDefault="00F6624B" w:rsidP="00F6624B">
      <w:pPr>
        <w:numPr>
          <w:ilvl w:val="0"/>
          <w:numId w:val="18"/>
        </w:numPr>
        <w:spacing w:after="0"/>
      </w:pPr>
      <w:r>
        <w:t>The tenant’s acknowledgement of other conditions voiding the repayment plan (e.g., other lease violations, moving out, or subleasing the property).</w:t>
      </w:r>
    </w:p>
    <w:p w14:paraId="6987EB86" w14:textId="77777777" w:rsidR="00F6624B" w:rsidRDefault="00F6624B" w:rsidP="00F6624B">
      <w:pPr>
        <w:numPr>
          <w:ilvl w:val="0"/>
          <w:numId w:val="18"/>
        </w:numPr>
        <w:spacing w:after="0"/>
      </w:pPr>
      <w:r>
        <w:t xml:space="preserve">A description of conditions that terminate the repayment agreement (e.g., full payment, a set end date, or another event, such as the end of an emergency order or the tenant returning to work). </w:t>
      </w:r>
    </w:p>
    <w:p w14:paraId="1E63546A" w14:textId="77777777" w:rsidR="00F6624B" w:rsidRDefault="00F6624B" w:rsidP="00F6624B">
      <w:pPr>
        <w:numPr>
          <w:ilvl w:val="0"/>
          <w:numId w:val="18"/>
        </w:numPr>
        <w:spacing w:after="0"/>
      </w:pPr>
      <w:r>
        <w:t>An agreement by the tenant to regularly update the landlord on the tenant’s financial situation.</w:t>
      </w:r>
    </w:p>
    <w:p w14:paraId="63AA2D17" w14:textId="77777777" w:rsidR="00F6624B" w:rsidRDefault="00F6624B" w:rsidP="00F6624B">
      <w:pPr>
        <w:numPr>
          <w:ilvl w:val="0"/>
          <w:numId w:val="18"/>
        </w:numPr>
      </w:pPr>
      <w:r>
        <w:t>Space for signatures of the landlord or property manager and all tenants listed on lease.</w:t>
      </w:r>
    </w:p>
    <w:p w14:paraId="600EE9FA" w14:textId="29522B14" w:rsidR="00F6624B" w:rsidRDefault="00F6624B" w:rsidP="00F6624B">
      <w:pPr>
        <w:pStyle w:val="Heading1"/>
      </w:pPr>
      <w:r>
        <w:t>Agreement Templates</w:t>
      </w:r>
    </w:p>
    <w:p w14:paraId="504B5C45" w14:textId="1C3E0C3F" w:rsidR="000665C5" w:rsidRPr="00A64B51" w:rsidRDefault="000665C5" w:rsidP="00A64B51">
      <w:pPr>
        <w:rPr>
          <w:i/>
          <w:iCs/>
        </w:rPr>
      </w:pPr>
      <w:r w:rsidRPr="00A64B51">
        <w:rPr>
          <w:i/>
          <w:iCs/>
        </w:rPr>
        <w:t>Th</w:t>
      </w:r>
      <w:r>
        <w:rPr>
          <w:i/>
          <w:iCs/>
        </w:rPr>
        <w:t xml:space="preserve">e inclusion of these examples and resources </w:t>
      </w:r>
      <w:r w:rsidRPr="00A64B51">
        <w:rPr>
          <w:i/>
          <w:iCs/>
        </w:rPr>
        <w:t xml:space="preserve">does not constitute </w:t>
      </w:r>
      <w:r>
        <w:rPr>
          <w:i/>
          <w:iCs/>
        </w:rPr>
        <w:t>an endorsement of any private organization listed below</w:t>
      </w:r>
      <w:r w:rsidRPr="00A64B51">
        <w:rPr>
          <w:i/>
          <w:iCs/>
        </w:rPr>
        <w:t>.</w:t>
      </w:r>
    </w:p>
    <w:tbl>
      <w:tblPr>
        <w:tblW w:w="10059" w:type="dxa"/>
        <w:tblBorders>
          <w:top w:val="nil"/>
          <w:left w:val="nil"/>
          <w:bottom w:val="single" w:sz="4" w:space="0" w:color="FAC090"/>
          <w:right w:val="nil"/>
          <w:insideH w:val="nil"/>
          <w:insideV w:val="nil"/>
        </w:tblBorders>
        <w:tblLayout w:type="fixed"/>
        <w:tblLook w:val="0400" w:firstRow="0" w:lastRow="0" w:firstColumn="0" w:lastColumn="0" w:noHBand="0" w:noVBand="1"/>
      </w:tblPr>
      <w:tblGrid>
        <w:gridCol w:w="2880"/>
        <w:gridCol w:w="7179"/>
      </w:tblGrid>
      <w:tr w:rsidR="00F6624B" w14:paraId="3E7BB007" w14:textId="77777777" w:rsidTr="00A64B51">
        <w:trPr>
          <w:trHeight w:val="225"/>
        </w:trPr>
        <w:tc>
          <w:tcPr>
            <w:tcW w:w="2880" w:type="dxa"/>
            <w:tcBorders>
              <w:bottom w:val="single" w:sz="8" w:space="0" w:color="549E39"/>
            </w:tcBorders>
            <w:shd w:val="clear" w:color="auto" w:fill="BADB7D"/>
          </w:tcPr>
          <w:p w14:paraId="3733046C" w14:textId="77777777" w:rsidR="00F6624B" w:rsidRDefault="00F6624B" w:rsidP="006E3B73">
            <w:r>
              <w:rPr>
                <w:b/>
              </w:rPr>
              <w:t>Template Source</w:t>
            </w:r>
          </w:p>
        </w:tc>
        <w:tc>
          <w:tcPr>
            <w:tcW w:w="7179" w:type="dxa"/>
            <w:tcBorders>
              <w:bottom w:val="single" w:sz="8" w:space="0" w:color="549E39"/>
            </w:tcBorders>
            <w:shd w:val="clear" w:color="auto" w:fill="D9E288"/>
          </w:tcPr>
          <w:p w14:paraId="3B3D6C97" w14:textId="77777777" w:rsidR="00F6624B" w:rsidRDefault="00F6624B" w:rsidP="006E3B73">
            <w:pPr>
              <w:rPr>
                <w:sz w:val="20"/>
                <w:szCs w:val="20"/>
              </w:rPr>
            </w:pPr>
            <w:r>
              <w:rPr>
                <w:b/>
              </w:rPr>
              <w:t>Link</w:t>
            </w:r>
          </w:p>
        </w:tc>
      </w:tr>
      <w:tr w:rsidR="00F6624B" w14:paraId="7C80FB07" w14:textId="77777777" w:rsidTr="00A64B51">
        <w:trPr>
          <w:trHeight w:val="604"/>
        </w:trPr>
        <w:tc>
          <w:tcPr>
            <w:tcW w:w="2880" w:type="dxa"/>
            <w:tcBorders>
              <w:top w:val="single" w:sz="8" w:space="0" w:color="549E39"/>
              <w:bottom w:val="single" w:sz="8" w:space="0" w:color="549E39"/>
            </w:tcBorders>
            <w:shd w:val="clear" w:color="auto" w:fill="D1E7A8"/>
            <w:vAlign w:val="center"/>
          </w:tcPr>
          <w:p w14:paraId="2A1CC7D9" w14:textId="4089CD1B" w:rsidR="00F6624B" w:rsidRDefault="000665C5" w:rsidP="006E3B73">
            <w:pPr>
              <w:jc w:val="left"/>
            </w:pPr>
            <w:r>
              <w:t>HUD Office of Federal Housing Commissioner</w:t>
            </w:r>
          </w:p>
        </w:tc>
        <w:tc>
          <w:tcPr>
            <w:tcW w:w="7179" w:type="dxa"/>
            <w:tcBorders>
              <w:top w:val="single" w:sz="8" w:space="0" w:color="549E39"/>
              <w:bottom w:val="single" w:sz="8" w:space="0" w:color="549E39"/>
            </w:tcBorders>
            <w:shd w:val="clear" w:color="auto" w:fill="E5EBB0"/>
          </w:tcPr>
          <w:p w14:paraId="2D2B985D" w14:textId="77777777" w:rsidR="00F6624B" w:rsidRDefault="000531A6" w:rsidP="006E3B73">
            <w:hyperlink r:id="rId7">
              <w:r w:rsidR="00F6624B">
                <w:rPr>
                  <w:color w:val="1155CC"/>
                  <w:u w:val="single"/>
                </w:rPr>
                <w:t>https://www.hud.gov/sites/documents/DOC_35535.PDF</w:t>
              </w:r>
            </w:hyperlink>
          </w:p>
        </w:tc>
      </w:tr>
      <w:tr w:rsidR="00114A3A" w14:paraId="349161AD" w14:textId="77777777" w:rsidTr="000665C5">
        <w:trPr>
          <w:trHeight w:val="582"/>
        </w:trPr>
        <w:tc>
          <w:tcPr>
            <w:tcW w:w="2880" w:type="dxa"/>
            <w:tcBorders>
              <w:top w:val="single" w:sz="8" w:space="0" w:color="549E39"/>
              <w:bottom w:val="single" w:sz="8" w:space="0" w:color="549E39"/>
            </w:tcBorders>
            <w:shd w:val="clear" w:color="auto" w:fill="D1E7A8"/>
            <w:vAlign w:val="center"/>
          </w:tcPr>
          <w:p w14:paraId="03DC111F" w14:textId="546F5ACA" w:rsidR="00114A3A" w:rsidRDefault="00114A3A" w:rsidP="006E3B73">
            <w:pPr>
              <w:jc w:val="left"/>
            </w:pPr>
            <w:r>
              <w:t>Minnesota Housing</w:t>
            </w:r>
          </w:p>
        </w:tc>
        <w:tc>
          <w:tcPr>
            <w:tcW w:w="7179" w:type="dxa"/>
            <w:tcBorders>
              <w:top w:val="single" w:sz="8" w:space="0" w:color="549E39"/>
              <w:bottom w:val="single" w:sz="8" w:space="0" w:color="549E39"/>
            </w:tcBorders>
            <w:shd w:val="clear" w:color="auto" w:fill="E5EBB0"/>
          </w:tcPr>
          <w:p w14:paraId="2C899121" w14:textId="5E539295" w:rsidR="00114A3A" w:rsidRDefault="000531A6" w:rsidP="006E3B73">
            <w:hyperlink r:id="rId8" w:history="1">
              <w:r w:rsidR="00114A3A" w:rsidRPr="00AE20BE">
                <w:rPr>
                  <w:rStyle w:val="Hyperlink"/>
                </w:rPr>
                <w:t>http://www.mnhousing.gov/get/MHFA_017809</w:t>
              </w:r>
            </w:hyperlink>
          </w:p>
        </w:tc>
      </w:tr>
      <w:tr w:rsidR="00F6624B" w14:paraId="42A171B3" w14:textId="77777777" w:rsidTr="00A64B51">
        <w:trPr>
          <w:trHeight w:val="582"/>
        </w:trPr>
        <w:tc>
          <w:tcPr>
            <w:tcW w:w="2880" w:type="dxa"/>
            <w:tcBorders>
              <w:top w:val="single" w:sz="8" w:space="0" w:color="549E39"/>
              <w:bottom w:val="single" w:sz="8" w:space="0" w:color="549E39"/>
            </w:tcBorders>
            <w:shd w:val="clear" w:color="auto" w:fill="D1E7A8"/>
            <w:vAlign w:val="center"/>
          </w:tcPr>
          <w:p w14:paraId="7B2B342D" w14:textId="018E5FDA" w:rsidR="00F6624B" w:rsidRDefault="00F6624B" w:rsidP="006E3B73">
            <w:pPr>
              <w:jc w:val="left"/>
            </w:pPr>
            <w:r>
              <w:t>California Association of Realtors</w:t>
            </w:r>
          </w:p>
        </w:tc>
        <w:tc>
          <w:tcPr>
            <w:tcW w:w="7179" w:type="dxa"/>
            <w:tcBorders>
              <w:top w:val="single" w:sz="8" w:space="0" w:color="549E39"/>
              <w:bottom w:val="single" w:sz="8" w:space="0" w:color="549E39"/>
            </w:tcBorders>
            <w:shd w:val="clear" w:color="auto" w:fill="E5EBB0"/>
          </w:tcPr>
          <w:p w14:paraId="437D8D45" w14:textId="77777777" w:rsidR="00F6624B" w:rsidRDefault="000531A6" w:rsidP="006E3B73">
            <w:hyperlink r:id="rId9">
              <w:r w:rsidR="00F6624B">
                <w:rPr>
                  <w:color w:val="1155CC"/>
                  <w:u w:val="single"/>
                </w:rPr>
                <w:t>https://www.car.org/-/media/CAR/Documents/Transaction-Center/PDF/Risk-Management/COVID19/RPD_4-6-2020.pdf</w:t>
              </w:r>
            </w:hyperlink>
          </w:p>
        </w:tc>
      </w:tr>
      <w:tr w:rsidR="00F6624B" w14:paraId="4213DC66" w14:textId="77777777" w:rsidTr="00A64B51">
        <w:trPr>
          <w:trHeight w:val="582"/>
        </w:trPr>
        <w:tc>
          <w:tcPr>
            <w:tcW w:w="2880" w:type="dxa"/>
            <w:tcBorders>
              <w:top w:val="single" w:sz="8" w:space="0" w:color="549E39"/>
              <w:bottom w:val="single" w:sz="8" w:space="0" w:color="549E39"/>
            </w:tcBorders>
            <w:shd w:val="clear" w:color="auto" w:fill="D1E7A8"/>
            <w:vAlign w:val="center"/>
          </w:tcPr>
          <w:p w14:paraId="3B3AB571" w14:textId="77777777" w:rsidR="00F6624B" w:rsidRDefault="00F6624B" w:rsidP="006E3B73">
            <w:pPr>
              <w:jc w:val="left"/>
            </w:pPr>
            <w:r>
              <w:t>National Apartment Association</w:t>
            </w:r>
          </w:p>
        </w:tc>
        <w:tc>
          <w:tcPr>
            <w:tcW w:w="7179" w:type="dxa"/>
            <w:tcBorders>
              <w:top w:val="single" w:sz="8" w:space="0" w:color="549E39"/>
              <w:bottom w:val="single" w:sz="8" w:space="0" w:color="549E39"/>
            </w:tcBorders>
            <w:shd w:val="clear" w:color="auto" w:fill="E5EBB0"/>
          </w:tcPr>
          <w:p w14:paraId="564F7A4E" w14:textId="77777777" w:rsidR="00F6624B" w:rsidRDefault="000531A6" w:rsidP="006E3B73">
            <w:hyperlink r:id="rId10">
              <w:r w:rsidR="00F6624B">
                <w:rPr>
                  <w:color w:val="1155CC"/>
                  <w:u w:val="single"/>
                </w:rPr>
                <w:t>https://www.naahq.org/sites/default/files/naa-documents/final_-_naa_payment_plan_agreement.pdf</w:t>
              </w:r>
            </w:hyperlink>
          </w:p>
        </w:tc>
      </w:tr>
      <w:tr w:rsidR="00F6624B" w14:paraId="438FA116" w14:textId="77777777" w:rsidTr="00A64B51">
        <w:trPr>
          <w:trHeight w:val="430"/>
        </w:trPr>
        <w:tc>
          <w:tcPr>
            <w:tcW w:w="2880" w:type="dxa"/>
            <w:tcBorders>
              <w:top w:val="single" w:sz="8" w:space="0" w:color="549E39"/>
              <w:bottom w:val="single" w:sz="8" w:space="0" w:color="549E39"/>
            </w:tcBorders>
            <w:shd w:val="clear" w:color="auto" w:fill="D1E7A8"/>
            <w:vAlign w:val="center"/>
          </w:tcPr>
          <w:p w14:paraId="0EFB1BA3" w14:textId="2EEDB686" w:rsidR="00F6624B" w:rsidRDefault="00235406" w:rsidP="006E3B73">
            <w:pPr>
              <w:jc w:val="left"/>
            </w:pPr>
            <w:r>
              <w:t xml:space="preserve">Texas </w:t>
            </w:r>
            <w:r w:rsidR="0046550D">
              <w:t xml:space="preserve">Realtors / </w:t>
            </w:r>
            <w:r w:rsidR="008E71D2">
              <w:t xml:space="preserve">Waco Association of </w:t>
            </w:r>
            <w:r w:rsidR="00F6624B">
              <w:t>Realtors</w:t>
            </w:r>
          </w:p>
        </w:tc>
        <w:tc>
          <w:tcPr>
            <w:tcW w:w="7179" w:type="dxa"/>
            <w:tcBorders>
              <w:top w:val="single" w:sz="8" w:space="0" w:color="549E39"/>
              <w:bottom w:val="single" w:sz="8" w:space="0" w:color="549E39"/>
            </w:tcBorders>
            <w:shd w:val="clear" w:color="auto" w:fill="E5EBB0"/>
          </w:tcPr>
          <w:p w14:paraId="525FE2E1" w14:textId="77777777" w:rsidR="00F6624B" w:rsidRDefault="000531A6" w:rsidP="006E3B73">
            <w:hyperlink r:id="rId11">
              <w:r w:rsidR="00F6624B">
                <w:rPr>
                  <w:color w:val="1155CC"/>
                  <w:u w:val="single"/>
                </w:rPr>
                <w:t>https://wacorealtors.net/wp-content/uploads/2020/04/Texas-Realtors-COVID-19-Lease-Payment-Plan-Agreement.pdf</w:t>
              </w:r>
            </w:hyperlink>
          </w:p>
        </w:tc>
      </w:tr>
    </w:tbl>
    <w:p w14:paraId="0D87B776" w14:textId="2D5203BA" w:rsidR="00782909" w:rsidRDefault="00782909" w:rsidP="00440EF5">
      <w:pPr>
        <w:jc w:val="left"/>
        <w:rPr>
          <w:noProof/>
        </w:rPr>
      </w:pPr>
    </w:p>
    <w:sectPr w:rsidR="00782909" w:rsidSect="00440EF5">
      <w:footerReference w:type="even" r:id="rId12"/>
      <w:footerReference w:type="default" r:id="rId13"/>
      <w:pgSz w:w="12240" w:h="15840"/>
      <w:pgMar w:top="1008" w:right="1008" w:bottom="1152" w:left="1008" w:header="144"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985A8" w14:textId="77777777" w:rsidR="000531A6" w:rsidRDefault="000531A6">
      <w:r>
        <w:separator/>
      </w:r>
    </w:p>
  </w:endnote>
  <w:endnote w:type="continuationSeparator" w:id="0">
    <w:p w14:paraId="60E62382" w14:textId="77777777" w:rsidR="000531A6" w:rsidRDefault="0005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FFD9" w14:textId="77777777" w:rsidR="00D3274B" w:rsidRDefault="00D3274B">
    <w:pPr>
      <w:pBdr>
        <w:top w:val="nil"/>
        <w:left w:val="nil"/>
        <w:bottom w:val="nil"/>
        <w:right w:val="nil"/>
        <w:between w:val="nil"/>
      </w:pBdr>
      <w:tabs>
        <w:tab w:val="center" w:pos="4320"/>
        <w:tab w:val="right" w:pos="8640"/>
      </w:tabs>
      <w:jc w:val="center"/>
      <w:rPr>
        <w:color w:val="000000"/>
      </w:rPr>
    </w:pPr>
  </w:p>
  <w:p w14:paraId="21920618" w14:textId="77777777" w:rsidR="00D3274B" w:rsidRDefault="00D3274B">
    <w:pPr>
      <w:pBdr>
        <w:top w:val="nil"/>
        <w:left w:val="nil"/>
        <w:bottom w:val="nil"/>
        <w:right w:val="nil"/>
        <w:between w:val="nil"/>
      </w:pBdr>
      <w:tabs>
        <w:tab w:val="center" w:pos="4320"/>
        <w:tab w:val="right" w:pos="8640"/>
      </w:tabs>
      <w:rPr>
        <w:color w:val="000000"/>
      </w:rPr>
    </w:pPr>
  </w:p>
  <w:p w14:paraId="7A008D86" w14:textId="77777777" w:rsidR="00D3274B" w:rsidRDefault="00D32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82E4" w14:textId="0DDAF012" w:rsidR="00D3274B" w:rsidRDefault="00E84900">
    <w:pPr>
      <w:pBdr>
        <w:top w:val="nil"/>
        <w:left w:val="nil"/>
        <w:bottom w:val="nil"/>
        <w:right w:val="nil"/>
        <w:between w:val="nil"/>
      </w:pBdr>
      <w:spacing w:line="320" w:lineRule="auto"/>
      <w:rPr>
        <w:rFonts w:ascii="Arial" w:eastAsia="Arial" w:hAnsi="Arial" w:cs="Arial"/>
        <w:b/>
        <w:color w:val="31849B"/>
        <w:sz w:val="32"/>
        <w:szCs w:val="32"/>
      </w:rPr>
    </w:pPr>
    <w:r>
      <w:rPr>
        <w:rFonts w:cstheme="minorHAnsi"/>
        <w:noProof/>
        <w:sz w:val="28"/>
        <w:szCs w:val="28"/>
      </w:rPr>
      <mc:AlternateContent>
        <mc:Choice Requires="wps">
          <w:drawing>
            <wp:anchor distT="0" distB="0" distL="114300" distR="114300" simplePos="0" relativeHeight="251663360" behindDoc="1" locked="0" layoutInCell="1" allowOverlap="1" wp14:anchorId="616B1D3F" wp14:editId="0C6EE428">
              <wp:simplePos x="0" y="0"/>
              <wp:positionH relativeFrom="page">
                <wp:align>right</wp:align>
              </wp:positionH>
              <wp:positionV relativeFrom="paragraph">
                <wp:posOffset>-238978</wp:posOffset>
              </wp:positionV>
              <wp:extent cx="7771130" cy="861703"/>
              <wp:effectExtent l="0" t="0" r="1270" b="0"/>
              <wp:wrapNone/>
              <wp:docPr id="5" name="Rectangle 5"/>
              <wp:cNvGraphicFramePr/>
              <a:graphic xmlns:a="http://schemas.openxmlformats.org/drawingml/2006/main">
                <a:graphicData uri="http://schemas.microsoft.com/office/word/2010/wordprocessingShape">
                  <wps:wsp>
                    <wps:cNvSpPr/>
                    <wps:spPr>
                      <a:xfrm>
                        <a:off x="0" y="0"/>
                        <a:ext cx="7771130" cy="86170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C9F99" w14:textId="77777777" w:rsidR="00E84900" w:rsidRPr="00F54C2F" w:rsidRDefault="00E84900" w:rsidP="00E84900">
                          <w:pPr>
                            <w:jc w:val="center"/>
                            <w:rPr>
                              <w:i/>
                              <w:iCs/>
                              <w:color w:val="000000" w:themeColor="text1"/>
                              <w:sz w:val="16"/>
                              <w:szCs w:val="16"/>
                            </w:rPr>
                          </w:pPr>
                          <w:r w:rsidRPr="00F54C2F">
                            <w:rPr>
                              <w:i/>
                              <w:iCs/>
                              <w:color w:val="000000" w:themeColor="text1"/>
                              <w:sz w:val="16"/>
                              <w:szCs w:val="16"/>
                            </w:rPr>
                            <w:t xml:space="preserve">This resource is prepared by technical assistance providers and intended only to provide guidance. The contents of this document, except when based on statutory or regulatory authority or law, do not have the force and effect of </w:t>
                          </w:r>
                          <w:proofErr w:type="gramStart"/>
                          <w:r w:rsidRPr="00F54C2F">
                            <w:rPr>
                              <w:i/>
                              <w:iCs/>
                              <w:color w:val="000000" w:themeColor="text1"/>
                              <w:sz w:val="16"/>
                              <w:szCs w:val="16"/>
                            </w:rPr>
                            <w:t>law</w:t>
                          </w:r>
                          <w:proofErr w:type="gramEnd"/>
                          <w:r w:rsidRPr="00F54C2F">
                            <w:rPr>
                              <w:i/>
                              <w:iCs/>
                              <w:color w:val="000000" w:themeColor="text1"/>
                              <w:sz w:val="16"/>
                              <w:szCs w:val="16"/>
                            </w:rPr>
                            <w:t xml:space="preserve"> and are not meant to bind the public in any way. This document is intended only to provide clarity to the public regarding existing requirements under the law or agency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1D3F" id="Rectangle 5" o:spid="_x0000_s1032" style="position:absolute;left:0;text-align:left;margin-left:560.7pt;margin-top:-18.8pt;width:611.9pt;height:67.8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" fillcolor="#d8d8d8 [2732]" stroked="f" strokeweight="2pt">
              <v:textbox>
                <w:txbxContent>
                  <w:p w14:paraId="78FC9F99" w14:textId="77777777" w:rsidR="00E84900" w:rsidRPr="00F54C2F" w:rsidRDefault="00E84900" w:rsidP="00E84900">
                    <w:pPr>
                      <w:jc w:val="center"/>
                      <w:rPr>
                        <w:i/>
                        <w:iCs/>
                        <w:color w:val="000000" w:themeColor="text1"/>
                        <w:sz w:val="16"/>
                        <w:szCs w:val="16"/>
                      </w:rPr>
                    </w:pPr>
                    <w:r w:rsidRPr="00F54C2F">
                      <w:rPr>
                        <w:i/>
                        <w:iCs/>
                        <w:color w:val="000000" w:themeColor="text1"/>
                        <w:sz w:val="16"/>
                        <w:szCs w:val="16"/>
                      </w:rPr>
                      <w:t xml:space="preserve">This resource is prepared by technical assistance providers and intended only to provide guidance. The contents of this document, except when based on statutory or regulatory authority or law, do not have the force and effect of </w:t>
                    </w:r>
                    <w:proofErr w:type="gramStart"/>
                    <w:r w:rsidRPr="00F54C2F">
                      <w:rPr>
                        <w:i/>
                        <w:iCs/>
                        <w:color w:val="000000" w:themeColor="text1"/>
                        <w:sz w:val="16"/>
                        <w:szCs w:val="16"/>
                      </w:rPr>
                      <w:t>law</w:t>
                    </w:r>
                    <w:proofErr w:type="gramEnd"/>
                    <w:r w:rsidRPr="00F54C2F">
                      <w:rPr>
                        <w:i/>
                        <w:iCs/>
                        <w:color w:val="000000" w:themeColor="text1"/>
                        <w:sz w:val="16"/>
                        <w:szCs w:val="16"/>
                      </w:rPr>
                      <w:t xml:space="preserve"> and are not meant to bind the public in any way. This document is intended only to provide clarity to the public regarding existing requirements under the law or agency policies.</w:t>
                    </w:r>
                  </w:p>
                </w:txbxContent>
              </v:textbox>
              <w10:wrap anchorx="page"/>
            </v:rect>
          </w:pict>
        </mc:Fallback>
      </mc:AlternateContent>
    </w:r>
    <w:r>
      <w:rPr>
        <w:noProof/>
      </w:rPr>
      <mc:AlternateContent>
        <mc:Choice Requires="wps">
          <w:drawing>
            <wp:anchor distT="0" distB="0" distL="114300" distR="114300" simplePos="0" relativeHeight="251661312" behindDoc="0" locked="0" layoutInCell="1" hidden="0" allowOverlap="1" wp14:anchorId="1598B329" wp14:editId="405C8F21">
              <wp:simplePos x="0" y="0"/>
              <wp:positionH relativeFrom="column">
                <wp:posOffset>-531177</wp:posOffset>
              </wp:positionH>
              <wp:positionV relativeFrom="paragraph">
                <wp:posOffset>4763</wp:posOffset>
              </wp:positionV>
              <wp:extent cx="3609975" cy="269875"/>
              <wp:effectExtent l="0" t="0" r="0" b="0"/>
              <wp:wrapNone/>
              <wp:docPr id="2" name="Rectangle 2"/>
              <wp:cNvGraphicFramePr/>
              <a:graphic xmlns:a="http://schemas.openxmlformats.org/drawingml/2006/main">
                <a:graphicData uri="http://schemas.microsoft.com/office/word/2010/wordprocessingShape">
                  <wps:wsp>
                    <wps:cNvSpPr/>
                    <wps:spPr>
                      <a:xfrm>
                        <a:off x="0" y="0"/>
                        <a:ext cx="3609975" cy="269875"/>
                      </a:xfrm>
                      <a:prstGeom prst="rect">
                        <a:avLst/>
                      </a:prstGeom>
                      <a:noFill/>
                      <a:ln>
                        <a:noFill/>
                      </a:ln>
                    </wps:spPr>
                    <wps:txbx>
                      <w:txbxContent>
                        <w:p w14:paraId="3BA3335E" w14:textId="77777777" w:rsidR="00D3274B" w:rsidRDefault="00D3274B">
                          <w:pPr>
                            <w:textDirection w:val="btLr"/>
                          </w:pPr>
                        </w:p>
                      </w:txbxContent>
                    </wps:txbx>
                    <wps:bodyPr spcFirstLastPara="1" wrap="square" lIns="91425" tIns="45700" rIns="91425" bIns="45700" anchor="ctr" anchorCtr="0">
                      <a:noAutofit/>
                    </wps:bodyPr>
                  </wps:wsp>
                </a:graphicData>
              </a:graphic>
            </wp:anchor>
          </w:drawing>
        </mc:Choice>
        <mc:Fallback>
          <w:pict>
            <v:rect w14:anchorId="1598B329" id="Rectangle 2" o:spid="_x0000_s1033" style="position:absolute;left:0;text-align:left;margin-left:-41.8pt;margin-top:.4pt;width:284.25pt;height:2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" filled="f" stroked="f">
              <v:textbox inset="2.53958mm,1.2694mm,2.53958mm,1.2694mm">
                <w:txbxContent>
                  <w:p w14:paraId="3BA3335E" w14:textId="77777777" w:rsidR="00D3274B" w:rsidRDefault="00D3274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1E833" w14:textId="77777777" w:rsidR="000531A6" w:rsidRDefault="000531A6">
      <w:r>
        <w:separator/>
      </w:r>
    </w:p>
  </w:footnote>
  <w:footnote w:type="continuationSeparator" w:id="0">
    <w:p w14:paraId="0A804E41" w14:textId="77777777" w:rsidR="000531A6" w:rsidRDefault="0005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5D"/>
    <w:multiLevelType w:val="hybridMultilevel"/>
    <w:tmpl w:val="885C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084B"/>
    <w:multiLevelType w:val="hybridMultilevel"/>
    <w:tmpl w:val="8628295A"/>
    <w:lvl w:ilvl="0" w:tplc="FEF48DA2">
      <w:start w:val="1"/>
      <w:numFmt w:val="bullet"/>
      <w:lvlText w:val=""/>
      <w:lvlJc w:val="left"/>
      <w:pPr>
        <w:ind w:left="720" w:hanging="360"/>
      </w:pPr>
      <w:rPr>
        <w:rFonts w:ascii="Symbol" w:hAnsi="Symbol" w:hint="default"/>
        <w:color w:val="D3481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25619"/>
    <w:multiLevelType w:val="multilevel"/>
    <w:tmpl w:val="82CC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35C6D"/>
    <w:multiLevelType w:val="hybridMultilevel"/>
    <w:tmpl w:val="F532038A"/>
    <w:lvl w:ilvl="0" w:tplc="504E19EE">
      <w:start w:val="1"/>
      <w:numFmt w:val="bullet"/>
      <w:lvlText w:val=""/>
      <w:lvlJc w:val="left"/>
      <w:pPr>
        <w:ind w:left="720" w:hanging="360"/>
      </w:pPr>
      <w:rPr>
        <w:rFonts w:ascii="Symbol" w:hAnsi="Symbol" w:hint="default"/>
        <w:color w:val="D34817"/>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E4B7E"/>
    <w:multiLevelType w:val="multilevel"/>
    <w:tmpl w:val="AE600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A1346B"/>
    <w:multiLevelType w:val="multilevel"/>
    <w:tmpl w:val="4FEC6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3B5C73"/>
    <w:multiLevelType w:val="hybridMultilevel"/>
    <w:tmpl w:val="FDB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83344"/>
    <w:multiLevelType w:val="multilevel"/>
    <w:tmpl w:val="DB34F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726B35"/>
    <w:multiLevelType w:val="multilevel"/>
    <w:tmpl w:val="4A089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4C6BD6"/>
    <w:multiLevelType w:val="hybridMultilevel"/>
    <w:tmpl w:val="49E4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03383"/>
    <w:multiLevelType w:val="hybridMultilevel"/>
    <w:tmpl w:val="C750CB6C"/>
    <w:lvl w:ilvl="0" w:tplc="67A46638">
      <w:start w:val="1"/>
      <w:numFmt w:val="bullet"/>
      <w:lvlText w:val=""/>
      <w:lvlJc w:val="left"/>
      <w:pPr>
        <w:ind w:left="720" w:hanging="360"/>
      </w:pPr>
      <w:rPr>
        <w:rFonts w:ascii="Symbol" w:hAnsi="Symbol" w:hint="default"/>
        <w:color w:val="D348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A4102"/>
    <w:multiLevelType w:val="hybridMultilevel"/>
    <w:tmpl w:val="7B4C77F6"/>
    <w:lvl w:ilvl="0" w:tplc="E9FE5232">
      <w:start w:val="1"/>
      <w:numFmt w:val="bullet"/>
      <w:lvlText w:val=""/>
      <w:lvlJc w:val="left"/>
      <w:pPr>
        <w:ind w:left="720" w:hanging="360"/>
      </w:pPr>
      <w:rPr>
        <w:rFonts w:ascii="Symbol" w:hAnsi="Symbol" w:hint="default"/>
        <w:color w:val="D348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6294C"/>
    <w:multiLevelType w:val="multilevel"/>
    <w:tmpl w:val="F2D68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4B59A9"/>
    <w:multiLevelType w:val="hybridMultilevel"/>
    <w:tmpl w:val="EC1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2A7D"/>
    <w:multiLevelType w:val="multilevel"/>
    <w:tmpl w:val="771E1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90438A"/>
    <w:multiLevelType w:val="multilevel"/>
    <w:tmpl w:val="6DCCC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577367"/>
    <w:multiLevelType w:val="hybridMultilevel"/>
    <w:tmpl w:val="FF54CBE2"/>
    <w:lvl w:ilvl="0" w:tplc="5730534C">
      <w:start w:val="1"/>
      <w:numFmt w:val="bullet"/>
      <w:lvlText w:val=""/>
      <w:lvlJc w:val="left"/>
      <w:pPr>
        <w:ind w:left="720" w:hanging="360"/>
      </w:pPr>
      <w:rPr>
        <w:rFonts w:ascii="Symbol" w:hAnsi="Symbol" w:hint="default"/>
        <w:color w:val="D34817"/>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D523F"/>
    <w:multiLevelType w:val="hybridMultilevel"/>
    <w:tmpl w:val="DEB0A68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0"/>
  </w:num>
  <w:num w:numId="3">
    <w:abstractNumId w:val="11"/>
  </w:num>
  <w:num w:numId="4">
    <w:abstractNumId w:val="1"/>
  </w:num>
  <w:num w:numId="5">
    <w:abstractNumId w:val="3"/>
  </w:num>
  <w:num w:numId="6">
    <w:abstractNumId w:val="16"/>
  </w:num>
  <w:num w:numId="7">
    <w:abstractNumId w:val="6"/>
  </w:num>
  <w:num w:numId="8">
    <w:abstractNumId w:val="13"/>
  </w:num>
  <w:num w:numId="9">
    <w:abstractNumId w:val="0"/>
  </w:num>
  <w:num w:numId="10">
    <w:abstractNumId w:val="9"/>
  </w:num>
  <w:num w:numId="11">
    <w:abstractNumId w:val="17"/>
  </w:num>
  <w:num w:numId="12">
    <w:abstractNumId w:val="4"/>
  </w:num>
  <w:num w:numId="13">
    <w:abstractNumId w:val="5"/>
  </w:num>
  <w:num w:numId="14">
    <w:abstractNumId w:val="15"/>
  </w:num>
  <w:num w:numId="15">
    <w:abstractNumId w:val="14"/>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4B"/>
    <w:rsid w:val="00004628"/>
    <w:rsid w:val="00010C5F"/>
    <w:rsid w:val="00033764"/>
    <w:rsid w:val="00034EBB"/>
    <w:rsid w:val="000352AD"/>
    <w:rsid w:val="00041BBE"/>
    <w:rsid w:val="000531A6"/>
    <w:rsid w:val="000665C5"/>
    <w:rsid w:val="00094B60"/>
    <w:rsid w:val="000C6ED7"/>
    <w:rsid w:val="000E1C86"/>
    <w:rsid w:val="000E3CC3"/>
    <w:rsid w:val="000F6A91"/>
    <w:rsid w:val="00103425"/>
    <w:rsid w:val="00114A3A"/>
    <w:rsid w:val="00192ADC"/>
    <w:rsid w:val="001A3A41"/>
    <w:rsid w:val="00216CC5"/>
    <w:rsid w:val="00235406"/>
    <w:rsid w:val="00284EE1"/>
    <w:rsid w:val="002B2B87"/>
    <w:rsid w:val="002E1262"/>
    <w:rsid w:val="003260A9"/>
    <w:rsid w:val="00364425"/>
    <w:rsid w:val="0037710F"/>
    <w:rsid w:val="00384320"/>
    <w:rsid w:val="00387890"/>
    <w:rsid w:val="003C3D97"/>
    <w:rsid w:val="003E11A1"/>
    <w:rsid w:val="00440EF5"/>
    <w:rsid w:val="004501BA"/>
    <w:rsid w:val="00453746"/>
    <w:rsid w:val="00453A86"/>
    <w:rsid w:val="004631D1"/>
    <w:rsid w:val="0046550D"/>
    <w:rsid w:val="004B5EAB"/>
    <w:rsid w:val="004C6E7E"/>
    <w:rsid w:val="004F3B1C"/>
    <w:rsid w:val="005066AE"/>
    <w:rsid w:val="00562026"/>
    <w:rsid w:val="00592067"/>
    <w:rsid w:val="005B35D5"/>
    <w:rsid w:val="0063365E"/>
    <w:rsid w:val="006429F2"/>
    <w:rsid w:val="00652171"/>
    <w:rsid w:val="006C2B57"/>
    <w:rsid w:val="006E26BB"/>
    <w:rsid w:val="006E5D03"/>
    <w:rsid w:val="00740374"/>
    <w:rsid w:val="00781D20"/>
    <w:rsid w:val="00782909"/>
    <w:rsid w:val="0078294C"/>
    <w:rsid w:val="00795A95"/>
    <w:rsid w:val="007B0625"/>
    <w:rsid w:val="0083737D"/>
    <w:rsid w:val="00843599"/>
    <w:rsid w:val="008D4238"/>
    <w:rsid w:val="008E71D2"/>
    <w:rsid w:val="0090627C"/>
    <w:rsid w:val="00906F7F"/>
    <w:rsid w:val="00914F73"/>
    <w:rsid w:val="009456E4"/>
    <w:rsid w:val="00967AC9"/>
    <w:rsid w:val="00991827"/>
    <w:rsid w:val="009B2706"/>
    <w:rsid w:val="009C2959"/>
    <w:rsid w:val="009F483F"/>
    <w:rsid w:val="00A55A14"/>
    <w:rsid w:val="00A602BF"/>
    <w:rsid w:val="00A6302A"/>
    <w:rsid w:val="00A64B51"/>
    <w:rsid w:val="00A8373F"/>
    <w:rsid w:val="00A86F8F"/>
    <w:rsid w:val="00AB0394"/>
    <w:rsid w:val="00AE473B"/>
    <w:rsid w:val="00AF77EA"/>
    <w:rsid w:val="00B05C0E"/>
    <w:rsid w:val="00B14699"/>
    <w:rsid w:val="00B2240E"/>
    <w:rsid w:val="00B22E84"/>
    <w:rsid w:val="00B3243C"/>
    <w:rsid w:val="00B473AF"/>
    <w:rsid w:val="00B47566"/>
    <w:rsid w:val="00B75CD8"/>
    <w:rsid w:val="00BB2BC1"/>
    <w:rsid w:val="00BC710D"/>
    <w:rsid w:val="00C267E2"/>
    <w:rsid w:val="00CB6669"/>
    <w:rsid w:val="00CD3853"/>
    <w:rsid w:val="00CD4592"/>
    <w:rsid w:val="00CE33A4"/>
    <w:rsid w:val="00D03EFD"/>
    <w:rsid w:val="00D3274B"/>
    <w:rsid w:val="00D52621"/>
    <w:rsid w:val="00D75A21"/>
    <w:rsid w:val="00D94779"/>
    <w:rsid w:val="00DD5E3B"/>
    <w:rsid w:val="00DE5ABE"/>
    <w:rsid w:val="00E707F6"/>
    <w:rsid w:val="00E805A7"/>
    <w:rsid w:val="00E84900"/>
    <w:rsid w:val="00E953AE"/>
    <w:rsid w:val="00E96AAE"/>
    <w:rsid w:val="00EA1C61"/>
    <w:rsid w:val="00ED273C"/>
    <w:rsid w:val="00EE7238"/>
    <w:rsid w:val="00F236E1"/>
    <w:rsid w:val="00F6624B"/>
    <w:rsid w:val="00F9612A"/>
    <w:rsid w:val="00FB5532"/>
    <w:rsid w:val="00FC14D5"/>
    <w:rsid w:val="00FC799D"/>
    <w:rsid w:val="00FE17CA"/>
    <w:rsid w:val="00FF0162"/>
    <w:rsid w:val="07B08884"/>
    <w:rsid w:val="13D9CBA3"/>
    <w:rsid w:val="14BC71EA"/>
    <w:rsid w:val="3325E83D"/>
    <w:rsid w:val="3558FDB2"/>
    <w:rsid w:val="4547A1D6"/>
    <w:rsid w:val="63BEDB38"/>
    <w:rsid w:val="66C8C63D"/>
    <w:rsid w:val="6B8C7E12"/>
    <w:rsid w:val="6FA8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AE356"/>
  <w15:docId w15:val="{F3018902-672C-466C-A38F-A23AD4D3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06"/>
    <w:pPr>
      <w:jc w:val="both"/>
    </w:pPr>
    <w:rPr>
      <w:rFonts w:ascii="Verdana" w:hAnsi="Verdana"/>
      <w:sz w:val="18"/>
    </w:rPr>
  </w:style>
  <w:style w:type="paragraph" w:styleId="Heading1">
    <w:name w:val="heading 1"/>
    <w:basedOn w:val="Normal"/>
    <w:next w:val="Normal"/>
    <w:link w:val="Heading1Char"/>
    <w:uiPriority w:val="9"/>
    <w:qFormat/>
    <w:rsid w:val="00FF0162"/>
    <w:pPr>
      <w:keepNext/>
      <w:keepLines/>
      <w:spacing w:before="120" w:after="80" w:line="240" w:lineRule="auto"/>
      <w:outlineLvl w:val="0"/>
    </w:pPr>
    <w:rPr>
      <w:rFonts w:eastAsiaTheme="majorEastAsia" w:cstheme="majorBidi"/>
      <w:b/>
      <w:color w:val="05566F"/>
      <w:sz w:val="26"/>
      <w:szCs w:val="30"/>
    </w:rPr>
  </w:style>
  <w:style w:type="paragraph" w:styleId="Heading2">
    <w:name w:val="heading 2"/>
    <w:basedOn w:val="Heading1"/>
    <w:next w:val="Normal"/>
    <w:link w:val="Heading2Char"/>
    <w:uiPriority w:val="9"/>
    <w:unhideWhenUsed/>
    <w:qFormat/>
    <w:rsid w:val="00FF0162"/>
    <w:pPr>
      <w:spacing w:before="40" w:after="0"/>
      <w:outlineLvl w:val="1"/>
    </w:pPr>
    <w:rPr>
      <w:rFonts w:asciiTheme="majorHAnsi" w:hAnsiTheme="majorHAnsi"/>
      <w:i/>
      <w:sz w:val="24"/>
      <w:szCs w:val="28"/>
    </w:rPr>
  </w:style>
  <w:style w:type="paragraph" w:styleId="Heading3">
    <w:name w:val="heading 3"/>
    <w:basedOn w:val="Normal"/>
    <w:next w:val="Normal"/>
    <w:link w:val="Heading3Char"/>
    <w:uiPriority w:val="9"/>
    <w:unhideWhenUsed/>
    <w:qFormat/>
    <w:rsid w:val="00FB5532"/>
    <w:pPr>
      <w:keepNext/>
      <w:keepLines/>
      <w:spacing w:before="40" w:after="0" w:line="240" w:lineRule="auto"/>
      <w:outlineLvl w:val="2"/>
    </w:pPr>
    <w:rPr>
      <w:rFonts w:asciiTheme="majorHAnsi" w:eastAsiaTheme="majorEastAsia" w:hAnsiTheme="majorHAnsi" w:cstheme="majorBidi"/>
      <w:b/>
      <w:i/>
      <w:szCs w:val="26"/>
    </w:rPr>
  </w:style>
  <w:style w:type="paragraph" w:styleId="Heading4">
    <w:name w:val="heading 4"/>
    <w:basedOn w:val="Normal"/>
    <w:next w:val="Normal"/>
    <w:link w:val="Heading4Char"/>
    <w:uiPriority w:val="9"/>
    <w:unhideWhenUsed/>
    <w:rsid w:val="00FB5532"/>
    <w:pPr>
      <w:keepNext/>
      <w:keepLines/>
      <w:spacing w:before="40" w:after="0"/>
      <w:outlineLvl w:val="3"/>
    </w:pPr>
    <w:rPr>
      <w:rFonts w:asciiTheme="majorHAnsi" w:eastAsiaTheme="majorEastAsia" w:hAnsiTheme="majorHAnsi" w:cstheme="majorBidi"/>
      <w:i/>
      <w:iCs/>
      <w:szCs w:val="25"/>
    </w:rPr>
  </w:style>
  <w:style w:type="paragraph" w:styleId="Heading5">
    <w:name w:val="heading 5"/>
    <w:basedOn w:val="Normal"/>
    <w:next w:val="Normal"/>
    <w:link w:val="Heading5Char"/>
    <w:uiPriority w:val="9"/>
    <w:unhideWhenUsed/>
    <w:rsid w:val="0090627C"/>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unhideWhenUsed/>
    <w:qFormat/>
    <w:rsid w:val="0090627C"/>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90627C"/>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90627C"/>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90627C"/>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627C"/>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37710F"/>
    <w:rPr>
      <w:rFonts w:ascii="Century Gothic" w:hAnsi="Century Gothic"/>
      <w:b/>
      <w:bCs/>
      <w:color w:val="D9D9D9" w:themeColor="background1" w:themeShade="D9"/>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6AE"/>
    <w:rPr>
      <w:rFonts w:ascii="Segoe UI" w:hAnsi="Segoe UI" w:cs="Segoe UI"/>
      <w:szCs w:val="18"/>
    </w:rPr>
  </w:style>
  <w:style w:type="character" w:customStyle="1" w:styleId="BalloonTextChar">
    <w:name w:val="Balloon Text Char"/>
    <w:basedOn w:val="DefaultParagraphFont"/>
    <w:link w:val="BalloonText"/>
    <w:uiPriority w:val="99"/>
    <w:semiHidden/>
    <w:rsid w:val="005066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4EE1"/>
    <w:rPr>
      <w:b/>
      <w:bCs/>
    </w:rPr>
  </w:style>
  <w:style w:type="character" w:customStyle="1" w:styleId="CommentSubjectChar">
    <w:name w:val="Comment Subject Char"/>
    <w:basedOn w:val="CommentTextChar"/>
    <w:link w:val="CommentSubject"/>
    <w:uiPriority w:val="99"/>
    <w:semiHidden/>
    <w:rsid w:val="00284EE1"/>
    <w:rPr>
      <w:b/>
      <w:bCs/>
      <w:sz w:val="20"/>
      <w:szCs w:val="20"/>
    </w:rPr>
  </w:style>
  <w:style w:type="paragraph" w:styleId="Header">
    <w:name w:val="header"/>
    <w:basedOn w:val="Normal"/>
    <w:link w:val="HeaderChar"/>
    <w:uiPriority w:val="99"/>
    <w:unhideWhenUsed/>
    <w:rsid w:val="004501BA"/>
    <w:pPr>
      <w:tabs>
        <w:tab w:val="center" w:pos="4680"/>
        <w:tab w:val="right" w:pos="9360"/>
      </w:tabs>
    </w:pPr>
  </w:style>
  <w:style w:type="character" w:customStyle="1" w:styleId="HeaderChar">
    <w:name w:val="Header Char"/>
    <w:basedOn w:val="DefaultParagraphFont"/>
    <w:link w:val="Header"/>
    <w:uiPriority w:val="99"/>
    <w:rsid w:val="004501BA"/>
  </w:style>
  <w:style w:type="paragraph" w:styleId="Footer">
    <w:name w:val="footer"/>
    <w:basedOn w:val="Normal"/>
    <w:link w:val="FooterChar"/>
    <w:uiPriority w:val="99"/>
    <w:unhideWhenUsed/>
    <w:rsid w:val="004501BA"/>
    <w:pPr>
      <w:tabs>
        <w:tab w:val="center" w:pos="4680"/>
        <w:tab w:val="right" w:pos="9360"/>
      </w:tabs>
    </w:pPr>
  </w:style>
  <w:style w:type="character" w:customStyle="1" w:styleId="FooterChar">
    <w:name w:val="Footer Char"/>
    <w:basedOn w:val="DefaultParagraphFont"/>
    <w:link w:val="Footer"/>
    <w:uiPriority w:val="99"/>
    <w:rsid w:val="004501BA"/>
  </w:style>
  <w:style w:type="paragraph" w:styleId="ListParagraph">
    <w:name w:val="List Paragraph"/>
    <w:basedOn w:val="Normal"/>
    <w:uiPriority w:val="34"/>
    <w:qFormat/>
    <w:rsid w:val="004501BA"/>
    <w:pPr>
      <w:ind w:left="720"/>
      <w:contextualSpacing/>
    </w:pPr>
  </w:style>
  <w:style w:type="character" w:styleId="Hyperlink">
    <w:name w:val="Hyperlink"/>
    <w:basedOn w:val="DefaultParagraphFont"/>
    <w:uiPriority w:val="99"/>
    <w:unhideWhenUsed/>
    <w:rsid w:val="004B5EAB"/>
    <w:rPr>
      <w:color w:val="0000FF" w:themeColor="hyperlink"/>
      <w:u w:val="single"/>
    </w:rPr>
  </w:style>
  <w:style w:type="table" w:styleId="TableGrid">
    <w:name w:val="Table Grid"/>
    <w:basedOn w:val="TableNormal"/>
    <w:uiPriority w:val="39"/>
    <w:rsid w:val="004B5EA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162"/>
    <w:rPr>
      <w:rFonts w:ascii="Verdana" w:eastAsiaTheme="majorEastAsia" w:hAnsi="Verdana" w:cstheme="majorBidi"/>
      <w:b/>
      <w:color w:val="05566F"/>
      <w:sz w:val="26"/>
      <w:szCs w:val="30"/>
    </w:rPr>
  </w:style>
  <w:style w:type="character" w:customStyle="1" w:styleId="Heading2Char">
    <w:name w:val="Heading 2 Char"/>
    <w:basedOn w:val="DefaultParagraphFont"/>
    <w:link w:val="Heading2"/>
    <w:uiPriority w:val="9"/>
    <w:rsid w:val="00FF0162"/>
    <w:rPr>
      <w:rFonts w:asciiTheme="majorHAnsi" w:eastAsiaTheme="majorEastAsia" w:hAnsiTheme="majorHAnsi" w:cstheme="majorBidi"/>
      <w:b/>
      <w:i/>
      <w:color w:val="05566F"/>
      <w:sz w:val="24"/>
      <w:szCs w:val="28"/>
    </w:rPr>
  </w:style>
  <w:style w:type="character" w:customStyle="1" w:styleId="Heading3Char">
    <w:name w:val="Heading 3 Char"/>
    <w:basedOn w:val="DefaultParagraphFont"/>
    <w:link w:val="Heading3"/>
    <w:uiPriority w:val="9"/>
    <w:rsid w:val="00FB5532"/>
    <w:rPr>
      <w:rFonts w:asciiTheme="majorHAnsi" w:eastAsiaTheme="majorEastAsia" w:hAnsiTheme="majorHAnsi" w:cstheme="majorBidi"/>
      <w:b/>
      <w:i/>
      <w:sz w:val="18"/>
      <w:szCs w:val="26"/>
    </w:rPr>
  </w:style>
  <w:style w:type="character" w:customStyle="1" w:styleId="Heading4Char">
    <w:name w:val="Heading 4 Char"/>
    <w:basedOn w:val="DefaultParagraphFont"/>
    <w:link w:val="Heading4"/>
    <w:uiPriority w:val="9"/>
    <w:rsid w:val="00FB5532"/>
    <w:rPr>
      <w:rFonts w:asciiTheme="majorHAnsi" w:eastAsiaTheme="majorEastAsia" w:hAnsiTheme="majorHAnsi" w:cstheme="majorBidi"/>
      <w:i/>
      <w:iCs/>
      <w:sz w:val="18"/>
      <w:szCs w:val="25"/>
    </w:rPr>
  </w:style>
  <w:style w:type="character" w:customStyle="1" w:styleId="Heading5Char">
    <w:name w:val="Heading 5 Char"/>
    <w:basedOn w:val="DefaultParagraphFont"/>
    <w:link w:val="Heading5"/>
    <w:uiPriority w:val="9"/>
    <w:rsid w:val="0090627C"/>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rsid w:val="0090627C"/>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90627C"/>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90627C"/>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90627C"/>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90627C"/>
    <w:pPr>
      <w:spacing w:line="240" w:lineRule="auto"/>
    </w:pPr>
    <w:rPr>
      <w:b/>
      <w:bCs/>
      <w:smallCaps/>
      <w:color w:val="4F81BD" w:themeColor="accent1"/>
      <w:spacing w:val="6"/>
    </w:rPr>
  </w:style>
  <w:style w:type="character" w:customStyle="1" w:styleId="TitleChar">
    <w:name w:val="Title Char"/>
    <w:basedOn w:val="DefaultParagraphFont"/>
    <w:link w:val="Title"/>
    <w:uiPriority w:val="10"/>
    <w:rsid w:val="0090627C"/>
    <w:rPr>
      <w:rFonts w:asciiTheme="majorHAnsi" w:eastAsiaTheme="majorEastAsia" w:hAnsiTheme="majorHAnsi" w:cstheme="majorBidi"/>
      <w:color w:val="365F91" w:themeColor="accent1" w:themeShade="BF"/>
      <w:spacing w:val="-10"/>
      <w:sz w:val="52"/>
      <w:szCs w:val="52"/>
    </w:rPr>
  </w:style>
  <w:style w:type="character" w:customStyle="1" w:styleId="SubtitleChar">
    <w:name w:val="Subtitle Char"/>
    <w:basedOn w:val="DefaultParagraphFont"/>
    <w:link w:val="Subtitle"/>
    <w:uiPriority w:val="11"/>
    <w:rsid w:val="0037710F"/>
    <w:rPr>
      <w:rFonts w:ascii="Century Gothic" w:hAnsi="Century Gothic"/>
      <w:b/>
      <w:bCs/>
      <w:color w:val="D9D9D9" w:themeColor="background1" w:themeShade="D9"/>
      <w:sz w:val="32"/>
      <w:szCs w:val="32"/>
    </w:rPr>
  </w:style>
  <w:style w:type="character" w:styleId="Strong">
    <w:name w:val="Strong"/>
    <w:basedOn w:val="DefaultParagraphFont"/>
    <w:uiPriority w:val="22"/>
    <w:qFormat/>
    <w:rsid w:val="0090627C"/>
    <w:rPr>
      <w:b/>
      <w:bCs/>
    </w:rPr>
  </w:style>
  <w:style w:type="character" w:styleId="Emphasis">
    <w:name w:val="Emphasis"/>
    <w:basedOn w:val="DefaultParagraphFont"/>
    <w:uiPriority w:val="20"/>
    <w:qFormat/>
    <w:rsid w:val="0090627C"/>
    <w:rPr>
      <w:i/>
      <w:iCs/>
    </w:rPr>
  </w:style>
  <w:style w:type="paragraph" w:styleId="NoSpacing">
    <w:name w:val="No Spacing"/>
    <w:uiPriority w:val="1"/>
    <w:qFormat/>
    <w:rsid w:val="0090627C"/>
    <w:pPr>
      <w:spacing w:after="0" w:line="240" w:lineRule="auto"/>
    </w:pPr>
  </w:style>
  <w:style w:type="paragraph" w:styleId="Quote">
    <w:name w:val="Quote"/>
    <w:basedOn w:val="Normal"/>
    <w:next w:val="Normal"/>
    <w:link w:val="QuoteChar"/>
    <w:uiPriority w:val="29"/>
    <w:qFormat/>
    <w:rsid w:val="0090627C"/>
    <w:pPr>
      <w:spacing w:before="120"/>
      <w:ind w:left="720" w:right="720"/>
      <w:jc w:val="center"/>
    </w:pPr>
    <w:rPr>
      <w:i/>
      <w:iCs/>
    </w:rPr>
  </w:style>
  <w:style w:type="character" w:customStyle="1" w:styleId="QuoteChar">
    <w:name w:val="Quote Char"/>
    <w:basedOn w:val="DefaultParagraphFont"/>
    <w:link w:val="Quote"/>
    <w:uiPriority w:val="29"/>
    <w:rsid w:val="0090627C"/>
    <w:rPr>
      <w:i/>
      <w:iCs/>
    </w:rPr>
  </w:style>
  <w:style w:type="paragraph" w:styleId="IntenseQuote">
    <w:name w:val="Intense Quote"/>
    <w:basedOn w:val="Normal"/>
    <w:next w:val="Normal"/>
    <w:link w:val="IntenseQuoteChar"/>
    <w:uiPriority w:val="30"/>
    <w:qFormat/>
    <w:rsid w:val="0090627C"/>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90627C"/>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90627C"/>
    <w:rPr>
      <w:i/>
      <w:iCs/>
      <w:color w:val="404040" w:themeColor="text1" w:themeTint="BF"/>
    </w:rPr>
  </w:style>
  <w:style w:type="character" w:styleId="IntenseEmphasis">
    <w:name w:val="Intense Emphasis"/>
    <w:basedOn w:val="DefaultParagraphFont"/>
    <w:uiPriority w:val="21"/>
    <w:qFormat/>
    <w:rsid w:val="0090627C"/>
    <w:rPr>
      <w:b w:val="0"/>
      <w:bCs w:val="0"/>
      <w:i/>
      <w:iCs/>
      <w:color w:val="4F81BD" w:themeColor="accent1"/>
    </w:rPr>
  </w:style>
  <w:style w:type="character" w:styleId="SubtleReference">
    <w:name w:val="Subtle Reference"/>
    <w:basedOn w:val="DefaultParagraphFont"/>
    <w:uiPriority w:val="31"/>
    <w:qFormat/>
    <w:rsid w:val="0090627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627C"/>
    <w:rPr>
      <w:b/>
      <w:bCs/>
      <w:smallCaps/>
      <w:color w:val="4F81BD" w:themeColor="accent1"/>
      <w:spacing w:val="5"/>
      <w:u w:val="single"/>
    </w:rPr>
  </w:style>
  <w:style w:type="character" w:styleId="BookTitle">
    <w:name w:val="Book Title"/>
    <w:basedOn w:val="DefaultParagraphFont"/>
    <w:uiPriority w:val="33"/>
    <w:qFormat/>
    <w:rsid w:val="0090627C"/>
    <w:rPr>
      <w:b/>
      <w:bCs/>
      <w:smallCaps/>
    </w:rPr>
  </w:style>
  <w:style w:type="paragraph" w:styleId="TOCHeading">
    <w:name w:val="TOC Heading"/>
    <w:basedOn w:val="Heading1"/>
    <w:next w:val="Normal"/>
    <w:uiPriority w:val="39"/>
    <w:semiHidden/>
    <w:unhideWhenUsed/>
    <w:qFormat/>
    <w:rsid w:val="0090627C"/>
    <w:pPr>
      <w:outlineLvl w:val="9"/>
    </w:pPr>
  </w:style>
  <w:style w:type="table" w:styleId="GridTable4-Accent2">
    <w:name w:val="Grid Table 4 Accent 2"/>
    <w:basedOn w:val="TableNormal"/>
    <w:uiPriority w:val="49"/>
    <w:rsid w:val="00FF01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6">
    <w:name w:val="List Table 3 Accent 6"/>
    <w:basedOn w:val="TableNormal"/>
    <w:uiPriority w:val="48"/>
    <w:rsid w:val="00FF016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5">
    <w:name w:val="List Table 3 Accent 5"/>
    <w:basedOn w:val="TableNormal"/>
    <w:uiPriority w:val="48"/>
    <w:rsid w:val="00FF016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5Dark-Accent2">
    <w:name w:val="List Table 5 Dark Accent 2"/>
    <w:basedOn w:val="TableNormal"/>
    <w:uiPriority w:val="50"/>
    <w:rsid w:val="00FF016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FF01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noteText">
    <w:name w:val="footnote text"/>
    <w:basedOn w:val="Normal"/>
    <w:link w:val="FootnoteTextChar"/>
    <w:uiPriority w:val="99"/>
    <w:semiHidden/>
    <w:unhideWhenUsed/>
    <w:rsid w:val="00782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909"/>
    <w:rPr>
      <w:rFonts w:ascii="Verdana" w:hAnsi="Verdana"/>
      <w:sz w:val="20"/>
      <w:szCs w:val="20"/>
    </w:rPr>
  </w:style>
  <w:style w:type="character" w:styleId="FootnoteReference">
    <w:name w:val="footnote reference"/>
    <w:basedOn w:val="DefaultParagraphFont"/>
    <w:uiPriority w:val="99"/>
    <w:semiHidden/>
    <w:unhideWhenUsed/>
    <w:rsid w:val="00782909"/>
    <w:rPr>
      <w:vertAlign w:val="superscript"/>
    </w:rPr>
  </w:style>
  <w:style w:type="character" w:customStyle="1" w:styleId="UnresolvedMention1">
    <w:name w:val="Unresolved Mention1"/>
    <w:basedOn w:val="DefaultParagraphFont"/>
    <w:uiPriority w:val="99"/>
    <w:semiHidden/>
    <w:unhideWhenUsed/>
    <w:rsid w:val="0059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nhousing.gov/get/MHFA_01780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ud.gov/sites/documents/DOC_3553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corealtors.net/wp-content/uploads/2020/04/Texas-Realtors-COVID-19-Lease-Payment-Plan-Agreem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ahq.org/sites/default/files/naa-documents/final_-_naa_payment_plan_agreement.pdf" TargetMode="External"/><Relationship Id="rId4" Type="http://schemas.openxmlformats.org/officeDocument/2006/relationships/webSettings" Target="webSettings.xml"/><Relationship Id="rId9" Type="http://schemas.openxmlformats.org/officeDocument/2006/relationships/hyperlink" Target="https://www.car.org/-/media/CAR/Documents/Transaction-Center/PDF/Risk-Management/COVID19/RPD_4-6-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Kitchin</dc:creator>
  <cp:lastModifiedBy>Yablonski, Christopher *</cp:lastModifiedBy>
  <cp:revision>3</cp:revision>
  <dcterms:created xsi:type="dcterms:W3CDTF">2020-08-05T18:10:00Z</dcterms:created>
  <dcterms:modified xsi:type="dcterms:W3CDTF">2020-08-05T18:11:00Z</dcterms:modified>
</cp:coreProperties>
</file>